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F7" w:rsidRPr="002E79A2" w:rsidRDefault="004823F7" w:rsidP="002E79A2"/>
    <w:p w:rsidR="004823F7" w:rsidRPr="002E79A2" w:rsidRDefault="004823F7" w:rsidP="002E79A2"/>
    <w:p w:rsidR="004823F7" w:rsidRPr="002E79A2" w:rsidRDefault="004823F7" w:rsidP="002E79A2"/>
    <w:p w:rsidR="004823F7" w:rsidRPr="002E79A2" w:rsidRDefault="004823F7" w:rsidP="002E79A2">
      <w:r w:rsidRPr="002E79A2">
        <w:tab/>
      </w:r>
    </w:p>
    <w:p w:rsidR="004823F7" w:rsidRPr="002E79A2" w:rsidRDefault="004823F7" w:rsidP="002E79A2"/>
    <w:p w:rsidR="004823F7" w:rsidRDefault="004823F7" w:rsidP="006A6A44">
      <w:pPr>
        <w:pStyle w:val="Title"/>
      </w:pPr>
      <w:r>
        <w:t>S</w:t>
      </w:r>
      <w:r w:rsidRPr="006A6A44">
        <w:t xml:space="preserve">mlouva o </w:t>
      </w:r>
    </w:p>
    <w:p w:rsidR="004823F7" w:rsidRPr="00A17FCC" w:rsidRDefault="004823F7" w:rsidP="00A17FCC"/>
    <w:p w:rsidR="004823F7" w:rsidRPr="006A6A44" w:rsidRDefault="004823F7" w:rsidP="006A6A44">
      <w:pPr>
        <w:pStyle w:val="Title"/>
      </w:pPr>
      <w:r w:rsidRPr="006A6A44">
        <w:t>POSKYTOVÁNÍ SLUŽEB</w:t>
      </w:r>
    </w:p>
    <w:p w:rsidR="004823F7" w:rsidRPr="002E79A2" w:rsidRDefault="004823F7" w:rsidP="002E79A2"/>
    <w:p w:rsidR="004823F7" w:rsidRPr="002E79A2" w:rsidRDefault="004823F7" w:rsidP="006A6A44">
      <w:pPr>
        <w:jc w:val="center"/>
      </w:pPr>
      <w:r w:rsidRPr="002E79A2">
        <w:t>mezi</w:t>
      </w:r>
    </w:p>
    <w:p w:rsidR="004823F7" w:rsidRPr="002E79A2" w:rsidRDefault="004823F7" w:rsidP="002E79A2"/>
    <w:p w:rsidR="004823F7" w:rsidRPr="002E79A2" w:rsidRDefault="004823F7" w:rsidP="002E79A2"/>
    <w:p w:rsidR="004823F7" w:rsidRPr="002E79A2" w:rsidRDefault="004823F7" w:rsidP="002E79A2"/>
    <w:p w:rsidR="004823F7" w:rsidRPr="002E79A2" w:rsidRDefault="004823F7" w:rsidP="002E79A2"/>
    <w:p w:rsidR="004823F7" w:rsidRPr="002E79A2" w:rsidRDefault="004823F7" w:rsidP="002E79A2"/>
    <w:p w:rsidR="004823F7" w:rsidRPr="002E79A2" w:rsidRDefault="004823F7" w:rsidP="002E79A2">
      <w:r w:rsidRPr="002E79A2">
        <w:t>CENIA, česká informační agentura životního prostředí</w:t>
      </w:r>
    </w:p>
    <w:p w:rsidR="004823F7" w:rsidRPr="002E79A2" w:rsidRDefault="004823F7" w:rsidP="002E79A2"/>
    <w:p w:rsidR="004823F7" w:rsidRPr="002E79A2" w:rsidRDefault="004823F7" w:rsidP="002E79A2">
      <w:r w:rsidRPr="002E79A2">
        <w:t>a</w:t>
      </w:r>
    </w:p>
    <w:p w:rsidR="004823F7" w:rsidRPr="002E79A2" w:rsidRDefault="004823F7" w:rsidP="002E79A2"/>
    <w:p w:rsidR="004823F7" w:rsidRPr="002E79A2" w:rsidRDefault="004823F7" w:rsidP="002E79A2">
      <w:r w:rsidRPr="002E79A2">
        <w:rPr>
          <w:highlight w:val="yellow"/>
        </w:rPr>
        <w:t>[DODAVATEL]</w:t>
      </w:r>
    </w:p>
    <w:p w:rsidR="004823F7" w:rsidRPr="002E79A2" w:rsidRDefault="004823F7" w:rsidP="002E79A2">
      <w:r w:rsidRPr="002E79A2">
        <w:br w:type="page"/>
      </w:r>
    </w:p>
    <w:p w:rsidR="004823F7" w:rsidRPr="002E79A2" w:rsidRDefault="004823F7" w:rsidP="002E79A2">
      <w:r w:rsidRPr="002E79A2">
        <w:rPr>
          <w:b/>
        </w:rPr>
        <w:t xml:space="preserve">TATO SMLOUVA O POSKYTOVÁNÍ SLUŽEB </w:t>
      </w:r>
      <w:r w:rsidRPr="002E79A2">
        <w:t>(dále jen „</w:t>
      </w:r>
      <w:r w:rsidRPr="002E79A2">
        <w:rPr>
          <w:b/>
        </w:rPr>
        <w:t>Smlouva</w:t>
      </w:r>
      <w:r w:rsidRPr="002E79A2">
        <w:t xml:space="preserve">“) je uzavřena podle § 1746 odst. </w:t>
      </w:r>
      <w:smartTag w:uri="urn:schemas-microsoft-com:office:smarttags" w:element="metricconverter">
        <w:smartTagPr>
          <w:attr w:name="ProductID" w:val="2 a"/>
        </w:smartTagPr>
        <w:r w:rsidRPr="002E79A2">
          <w:t>2 a</w:t>
        </w:r>
      </w:smartTag>
      <w:r w:rsidRPr="002E79A2">
        <w:t xml:space="preserve"> násl. zákona č. 89/2012 Sb., občanský zákoník, ve znění pozdějších předpisů (dále jen „</w:t>
      </w:r>
      <w:r w:rsidRPr="002E79A2">
        <w:rPr>
          <w:b/>
        </w:rPr>
        <w:t>Občanský zákoník</w:t>
      </w:r>
      <w:r w:rsidRPr="002E79A2">
        <w:t>“),</w:t>
      </w:r>
    </w:p>
    <w:p w:rsidR="004823F7" w:rsidRPr="002E79A2" w:rsidRDefault="004823F7" w:rsidP="002E79A2">
      <w:pPr>
        <w:pStyle w:val="Header"/>
      </w:pPr>
    </w:p>
    <w:p w:rsidR="004823F7" w:rsidRPr="002E79A2" w:rsidRDefault="004823F7" w:rsidP="002E79A2">
      <w:r>
        <w:t>mezi</w:t>
      </w:r>
    </w:p>
    <w:p w:rsidR="004823F7" w:rsidRPr="002E79A2" w:rsidRDefault="004823F7" w:rsidP="00E478FC">
      <w:pPr>
        <w:spacing w:after="0"/>
        <w:ind w:left="709"/>
      </w:pPr>
      <w:r w:rsidRPr="002E79A2">
        <w:t>CENIA, česká informační agentura životního prostředí</w:t>
      </w:r>
    </w:p>
    <w:p w:rsidR="004823F7" w:rsidRPr="002E79A2" w:rsidRDefault="004823F7" w:rsidP="00E478FC">
      <w:pPr>
        <w:spacing w:after="0"/>
        <w:ind w:left="709"/>
      </w:pPr>
      <w:r w:rsidRPr="002E79A2">
        <w:t xml:space="preserve">se sídlem: </w:t>
      </w:r>
      <w:r w:rsidRPr="002E79A2">
        <w:tab/>
      </w:r>
      <w:r w:rsidRPr="002E79A2">
        <w:tab/>
        <w:t>Praha 10, Vršovice, Vršovická 1442/65, PSČ: 100 10</w:t>
      </w:r>
    </w:p>
    <w:p w:rsidR="004823F7" w:rsidRPr="002E79A2" w:rsidRDefault="004823F7" w:rsidP="00E478FC">
      <w:pPr>
        <w:spacing w:after="0"/>
        <w:ind w:left="709"/>
      </w:pPr>
      <w:r w:rsidRPr="002E79A2">
        <w:t xml:space="preserve">IČO: </w:t>
      </w:r>
      <w:r w:rsidRPr="002E79A2">
        <w:tab/>
      </w:r>
      <w:r w:rsidRPr="002E79A2">
        <w:tab/>
      </w:r>
      <w:r w:rsidRPr="002E79A2">
        <w:tab/>
        <w:t>45249130</w:t>
      </w:r>
    </w:p>
    <w:p w:rsidR="004823F7" w:rsidRPr="002E79A2" w:rsidRDefault="004823F7" w:rsidP="00E478FC">
      <w:pPr>
        <w:spacing w:after="0"/>
        <w:ind w:left="709"/>
      </w:pPr>
      <w:r w:rsidRPr="002E79A2">
        <w:t xml:space="preserve">bankovní spojení: </w:t>
      </w:r>
      <w:r w:rsidRPr="002E79A2">
        <w:tab/>
      </w:r>
      <w:r>
        <w:t>Česká národní banka, Praha 1</w:t>
      </w:r>
    </w:p>
    <w:p w:rsidR="004823F7" w:rsidRPr="002E79A2" w:rsidRDefault="004823F7" w:rsidP="00E478FC">
      <w:pPr>
        <w:spacing w:after="0"/>
        <w:ind w:left="709"/>
      </w:pPr>
      <w:r w:rsidRPr="002E79A2">
        <w:t xml:space="preserve">číslo účtu: </w:t>
      </w:r>
      <w:r w:rsidRPr="002E79A2">
        <w:tab/>
      </w:r>
      <w:r w:rsidRPr="002E79A2">
        <w:tab/>
      </w:r>
      <w:r>
        <w:t>1837101/0710</w:t>
      </w:r>
      <w:r w:rsidRPr="002E79A2">
        <w:t xml:space="preserve"> </w:t>
      </w:r>
    </w:p>
    <w:p w:rsidR="004823F7" w:rsidRPr="002E79A2" w:rsidRDefault="004823F7" w:rsidP="00E478FC">
      <w:pPr>
        <w:spacing w:after="0"/>
        <w:ind w:left="709"/>
      </w:pPr>
      <w:r w:rsidRPr="002E79A2">
        <w:t xml:space="preserve">jednající: </w:t>
      </w:r>
      <w:r w:rsidRPr="002E79A2">
        <w:tab/>
      </w:r>
      <w:r w:rsidRPr="002E79A2">
        <w:tab/>
        <w:t>Ing. Vladimír Fanta, ředitel</w:t>
      </w:r>
    </w:p>
    <w:p w:rsidR="004823F7" w:rsidRPr="002E79A2" w:rsidRDefault="004823F7" w:rsidP="002E79A2"/>
    <w:p w:rsidR="004823F7" w:rsidRPr="002E79A2" w:rsidRDefault="004823F7" w:rsidP="002E79A2">
      <w:r w:rsidRPr="002E79A2">
        <w:t>(dále jen „</w:t>
      </w:r>
      <w:r w:rsidRPr="00A17FCC">
        <w:rPr>
          <w:b/>
        </w:rPr>
        <w:t>Objednatel</w:t>
      </w:r>
      <w:r w:rsidRPr="002E79A2">
        <w:t>“)</w:t>
      </w:r>
    </w:p>
    <w:p w:rsidR="004823F7" w:rsidRPr="002E79A2" w:rsidRDefault="004823F7" w:rsidP="002E79A2">
      <w:r w:rsidRPr="002E79A2">
        <w:t>na straně jedné</w:t>
      </w:r>
    </w:p>
    <w:p w:rsidR="004823F7" w:rsidRPr="002E79A2" w:rsidRDefault="004823F7" w:rsidP="002E79A2">
      <w:r>
        <w:t>a</w:t>
      </w:r>
    </w:p>
    <w:p w:rsidR="004823F7" w:rsidRDefault="004823F7" w:rsidP="002E79A2"/>
    <w:p w:rsidR="004823F7" w:rsidRPr="002E79A2" w:rsidRDefault="004823F7" w:rsidP="002E79A2">
      <w:r w:rsidRPr="002E79A2">
        <w:t>XXXXX</w:t>
      </w:r>
    </w:p>
    <w:p w:rsidR="004823F7" w:rsidRPr="002E79A2" w:rsidRDefault="004823F7" w:rsidP="00E478FC">
      <w:pPr>
        <w:spacing w:after="0"/>
        <w:ind w:left="709"/>
      </w:pPr>
      <w:r w:rsidRPr="002E79A2">
        <w:t>se sídlem:</w:t>
      </w:r>
      <w:r w:rsidRPr="002E79A2">
        <w:tab/>
      </w:r>
      <w:r w:rsidRPr="002E79A2">
        <w:rPr>
          <w:highlight w:val="yellow"/>
        </w:rPr>
        <w:t>[doplní účastník]</w:t>
      </w:r>
      <w:r w:rsidRPr="002E79A2">
        <w:tab/>
      </w:r>
    </w:p>
    <w:p w:rsidR="004823F7" w:rsidRPr="002E79A2" w:rsidRDefault="004823F7" w:rsidP="00E478FC">
      <w:pPr>
        <w:spacing w:after="0"/>
        <w:ind w:left="709"/>
      </w:pPr>
      <w:r w:rsidRPr="002E79A2">
        <w:t>IČO:</w:t>
      </w:r>
      <w:r w:rsidRPr="002E79A2">
        <w:tab/>
      </w:r>
      <w:r w:rsidRPr="002E79A2">
        <w:rPr>
          <w:highlight w:val="yellow"/>
        </w:rPr>
        <w:t>[doplní účastník]</w:t>
      </w:r>
    </w:p>
    <w:p w:rsidR="004823F7" w:rsidRPr="002E79A2" w:rsidRDefault="004823F7" w:rsidP="00E478FC">
      <w:pPr>
        <w:spacing w:after="0"/>
        <w:ind w:left="709"/>
      </w:pPr>
      <w:r w:rsidRPr="002E79A2">
        <w:t>DIČ:</w:t>
      </w:r>
      <w:r w:rsidRPr="002E79A2">
        <w:tab/>
      </w:r>
      <w:r w:rsidRPr="002E79A2">
        <w:rPr>
          <w:highlight w:val="yellow"/>
        </w:rPr>
        <w:t>[doplní účastník]</w:t>
      </w:r>
      <w:r w:rsidRPr="002E79A2">
        <w:t xml:space="preserve"> </w:t>
      </w:r>
      <w:r w:rsidRPr="002E79A2">
        <w:rPr>
          <w:highlight w:val="yellow"/>
        </w:rPr>
        <w:t>(je/není plátcem DPH)</w:t>
      </w:r>
    </w:p>
    <w:p w:rsidR="004823F7" w:rsidRPr="002E79A2" w:rsidRDefault="004823F7" w:rsidP="00E478FC">
      <w:pPr>
        <w:spacing w:after="0"/>
        <w:ind w:left="709"/>
      </w:pPr>
      <w:r w:rsidRPr="002E79A2">
        <w:t>bankovní spojení:</w:t>
      </w:r>
      <w:r w:rsidRPr="002E79A2">
        <w:tab/>
      </w:r>
      <w:r w:rsidRPr="002E79A2">
        <w:rPr>
          <w:highlight w:val="yellow"/>
        </w:rPr>
        <w:t>[doplní účastník]</w:t>
      </w:r>
    </w:p>
    <w:p w:rsidR="004823F7" w:rsidRPr="002E79A2" w:rsidRDefault="004823F7" w:rsidP="00E478FC">
      <w:pPr>
        <w:spacing w:after="0"/>
        <w:ind w:left="709"/>
        <w:rPr>
          <w:bCs/>
          <w:iCs/>
          <w:lang w:eastAsia="cs-CZ"/>
        </w:rPr>
      </w:pPr>
      <w:r w:rsidRPr="002E79A2">
        <w:t>číslo účtu:</w:t>
      </w:r>
      <w:r w:rsidRPr="002E79A2">
        <w:tab/>
      </w:r>
      <w:r w:rsidRPr="002E79A2">
        <w:rPr>
          <w:highlight w:val="yellow"/>
        </w:rPr>
        <w:t>[doplní účastník]</w:t>
      </w:r>
    </w:p>
    <w:p w:rsidR="004823F7" w:rsidRPr="002E79A2" w:rsidRDefault="004823F7" w:rsidP="00E478FC">
      <w:pPr>
        <w:spacing w:after="0"/>
        <w:ind w:left="709"/>
        <w:rPr>
          <w:b/>
          <w:bCs/>
          <w:i/>
          <w:iCs/>
          <w:lang w:eastAsia="cs-CZ"/>
        </w:rPr>
      </w:pPr>
      <w:r w:rsidRPr="002E79A2">
        <w:rPr>
          <w:bCs/>
          <w:iCs/>
          <w:lang w:eastAsia="cs-CZ"/>
        </w:rPr>
        <w:t>Zástupce:</w:t>
      </w:r>
      <w:r w:rsidRPr="002E79A2">
        <w:rPr>
          <w:bCs/>
          <w:iCs/>
          <w:lang w:eastAsia="cs-CZ"/>
        </w:rPr>
        <w:tab/>
      </w:r>
      <w:r w:rsidRPr="002E79A2">
        <w:rPr>
          <w:highlight w:val="yellow"/>
        </w:rPr>
        <w:t>[doplní účastník]</w:t>
      </w:r>
    </w:p>
    <w:p w:rsidR="004823F7" w:rsidRPr="002E79A2" w:rsidRDefault="004823F7" w:rsidP="00E478FC">
      <w:pPr>
        <w:spacing w:after="0"/>
        <w:ind w:left="709"/>
        <w:rPr>
          <w:b/>
        </w:rPr>
      </w:pPr>
      <w:r w:rsidRPr="002E79A2">
        <w:t>kontaktní údaje:</w:t>
      </w:r>
      <w:r w:rsidRPr="002E79A2">
        <w:tab/>
      </w:r>
      <w:r w:rsidRPr="002E79A2">
        <w:rPr>
          <w:highlight w:val="yellow"/>
        </w:rPr>
        <w:t>[doplní účastník]</w:t>
      </w:r>
    </w:p>
    <w:p w:rsidR="004823F7" w:rsidRPr="002E79A2" w:rsidRDefault="004823F7" w:rsidP="00E478FC">
      <w:pPr>
        <w:spacing w:after="0"/>
        <w:ind w:left="709"/>
      </w:pPr>
      <w:r w:rsidRPr="002E79A2">
        <w:t xml:space="preserve">email: </w:t>
      </w:r>
      <w:r w:rsidRPr="002E79A2">
        <w:tab/>
      </w:r>
      <w:r w:rsidRPr="002E79A2">
        <w:rPr>
          <w:highlight w:val="yellow"/>
        </w:rPr>
        <w:t>[doplní účastník]</w:t>
      </w:r>
    </w:p>
    <w:p w:rsidR="004823F7" w:rsidRPr="002E79A2" w:rsidRDefault="004823F7" w:rsidP="002E79A2"/>
    <w:p w:rsidR="004823F7" w:rsidRPr="002E79A2" w:rsidRDefault="004823F7" w:rsidP="002E79A2">
      <w:r w:rsidRPr="002E79A2">
        <w:t>(dále jen „</w:t>
      </w:r>
      <w:r w:rsidRPr="00A17FCC">
        <w:rPr>
          <w:b/>
        </w:rPr>
        <w:t>Dodavatel</w:t>
      </w:r>
      <w:r w:rsidRPr="002E79A2">
        <w:t>“)</w:t>
      </w:r>
    </w:p>
    <w:p w:rsidR="004823F7" w:rsidRPr="002E79A2" w:rsidRDefault="004823F7" w:rsidP="002E79A2">
      <w:r w:rsidRPr="002E79A2">
        <w:t>na straně druhé</w:t>
      </w:r>
    </w:p>
    <w:p w:rsidR="004823F7" w:rsidRPr="002E79A2" w:rsidRDefault="004823F7" w:rsidP="002E79A2">
      <w:r w:rsidRPr="002E79A2">
        <w:t>O</w:t>
      </w:r>
      <w:r>
        <w:t>bjednatel</w:t>
      </w:r>
      <w:r w:rsidRPr="002E79A2">
        <w:t xml:space="preserve"> a D</w:t>
      </w:r>
      <w:r>
        <w:t>odavatel</w:t>
      </w:r>
      <w:r w:rsidRPr="002E79A2">
        <w:t xml:space="preserve"> </w:t>
      </w:r>
      <w:r>
        <w:t>dále</w:t>
      </w:r>
      <w:r w:rsidRPr="002E79A2">
        <w:t xml:space="preserve"> společně jen „</w:t>
      </w:r>
      <w:r w:rsidRPr="002E79A2">
        <w:rPr>
          <w:b/>
        </w:rPr>
        <w:t>Smluvní strany</w:t>
      </w:r>
      <w:r w:rsidRPr="002E79A2">
        <w:t>“</w:t>
      </w:r>
    </w:p>
    <w:p w:rsidR="004823F7" w:rsidRPr="002E79A2" w:rsidRDefault="004823F7" w:rsidP="002E79A2">
      <w:r>
        <w:t xml:space="preserve">nebo také jednotlivé jako </w:t>
      </w:r>
      <w:r w:rsidRPr="002E79A2">
        <w:t>„</w:t>
      </w:r>
      <w:r w:rsidRPr="002E79A2">
        <w:rPr>
          <w:b/>
        </w:rPr>
        <w:t>Smluvní strana</w:t>
      </w:r>
      <w:r w:rsidRPr="002E79A2">
        <w:t>“.</w:t>
      </w:r>
    </w:p>
    <w:p w:rsidR="004823F7" w:rsidRPr="002E79A2" w:rsidRDefault="004823F7" w:rsidP="002E79A2"/>
    <w:p w:rsidR="004823F7" w:rsidRPr="002E79A2" w:rsidRDefault="004823F7" w:rsidP="002E79A2">
      <w:pPr>
        <w:ind w:left="0"/>
      </w:pPr>
      <w:r w:rsidRPr="002E79A2">
        <w:t>Smluvní strany se dohodly na následující úpravě práv a povinností, jak jsou uvedeny dále v této Smlouvě:</w:t>
      </w:r>
    </w:p>
    <w:p w:rsidR="004823F7" w:rsidRPr="002E79A2" w:rsidRDefault="004823F7" w:rsidP="00FA147D">
      <w:pPr>
        <w:pStyle w:val="Heading1"/>
        <w:spacing w:before="240"/>
      </w:pPr>
      <w:r w:rsidRPr="002E79A2">
        <w:t xml:space="preserve">ÚVODNÍ </w:t>
      </w:r>
      <w:r>
        <w:t>USTANOVENÍ</w:t>
      </w:r>
    </w:p>
    <w:p w:rsidR="004823F7" w:rsidRPr="002E79A2" w:rsidRDefault="004823F7" w:rsidP="00A1477B">
      <w:pPr>
        <w:pStyle w:val="Heading2"/>
        <w:numPr>
          <w:ilvl w:val="1"/>
          <w:numId w:val="25"/>
        </w:numPr>
        <w:ind w:left="567" w:hanging="567"/>
      </w:pPr>
      <w:r w:rsidRPr="002E79A2">
        <w:t xml:space="preserve">Smlouva je uzavírána mezi Objednatelem a Dodavatelem na základě výsledků zadávacího řízení na veřejnou zakázku malého rozsahu na služby s názvem </w:t>
      </w:r>
      <w:bookmarkStart w:id="0" w:name="_Toc477437524"/>
      <w:bookmarkStart w:id="1" w:name="_Toc479595788"/>
      <w:r w:rsidRPr="003C6F4F">
        <w:t>„</w:t>
      </w:r>
      <w:bookmarkStart w:id="2" w:name="_Toc477437525"/>
      <w:bookmarkStart w:id="3" w:name="_Toc479595789"/>
      <w:bookmarkEnd w:id="0"/>
      <w:bookmarkEnd w:id="1"/>
      <w:r w:rsidRPr="003C6F4F">
        <w:t>Služby v oblasti ICT programového/projektového řízení EnviUEP a projektového řízení OpenData“</w:t>
      </w:r>
      <w:bookmarkEnd w:id="2"/>
      <w:bookmarkEnd w:id="3"/>
      <w:r w:rsidRPr="00BF437A">
        <w:t xml:space="preserve"> (id na </w:t>
      </w:r>
      <w:r>
        <w:t>portálu GEMIN</w:t>
      </w:r>
      <w:r w:rsidRPr="00BF437A">
        <w:t xml:space="preserve"> zadavatele: </w:t>
      </w:r>
      <w:r w:rsidRPr="007F4452">
        <w:rPr>
          <w:highlight w:val="green"/>
        </w:rPr>
        <w:t>[doplní objednatel]</w:t>
      </w:r>
      <w:r w:rsidRPr="002E79A2">
        <w:t>.), (dále jen „</w:t>
      </w:r>
      <w:r w:rsidRPr="00A17FCC">
        <w:rPr>
          <w:b/>
        </w:rPr>
        <w:t>Veřejná zakázka</w:t>
      </w:r>
      <w:r w:rsidRPr="002E79A2">
        <w:t>“). Nabídka Dodavatele podaná v rámci zadávacího ř</w:t>
      </w:r>
      <w:bookmarkStart w:id="4" w:name="_GoBack"/>
      <w:bookmarkEnd w:id="4"/>
      <w:r w:rsidRPr="002E79A2">
        <w:t>ízení na Veřejnou zakázku byla vyhodnocena jako nejvýhodnější.</w:t>
      </w:r>
    </w:p>
    <w:p w:rsidR="004823F7" w:rsidRPr="002E79A2" w:rsidRDefault="004823F7" w:rsidP="002E79A2">
      <w:pPr>
        <w:pStyle w:val="Heading1"/>
      </w:pPr>
      <w:r w:rsidRPr="002E79A2">
        <w:t>PŘEDMĚT SMLOUVY</w:t>
      </w:r>
    </w:p>
    <w:p w:rsidR="004823F7" w:rsidRDefault="004823F7" w:rsidP="00E478FC">
      <w:pPr>
        <w:pStyle w:val="ListParagraph"/>
        <w:numPr>
          <w:ilvl w:val="1"/>
          <w:numId w:val="26"/>
        </w:numPr>
        <w:ind w:left="567" w:hanging="567"/>
      </w:pPr>
      <w:r w:rsidRPr="002E79A2">
        <w:t xml:space="preserve">Dodavatel se zavazuje pro Objednatele a na jeho účet </w:t>
      </w:r>
      <w:r>
        <w:t xml:space="preserve">poskytovat </w:t>
      </w:r>
      <w:r w:rsidRPr="003C6F4F">
        <w:t>„Služby v oblasti ICT programového/projektového řízení EnviUEP a projektového řízení OpenData“</w:t>
      </w:r>
      <w:r>
        <w:t xml:space="preserve"> </w:t>
      </w:r>
      <w:r w:rsidRPr="002E79A2">
        <w:t xml:space="preserve">v celkovém maximálním rozsahu </w:t>
      </w:r>
      <w:r>
        <w:t>2890</w:t>
      </w:r>
      <w:r w:rsidRPr="002E79A2">
        <w:t xml:space="preserve"> (slovy </w:t>
      </w:r>
      <w:r>
        <w:t>dvatisíceosmsetdevadesát</w:t>
      </w:r>
      <w:r w:rsidRPr="002E79A2">
        <w:t xml:space="preserve">) člověkohodin práce a to řádně a včas dle pokynů Objednatele a v souladu se souvisejícími právními a prováděcími předpisy a dalšími relevantními pravidly (dále jen „Služby“). Objednatel není povinen odebrat od </w:t>
      </w:r>
      <w:r>
        <w:t>Dodavatele</w:t>
      </w:r>
      <w:r w:rsidRPr="002E79A2">
        <w:t xml:space="preserve"> maximální rozsah Služeb. </w:t>
      </w:r>
      <w:r w:rsidRPr="00E478FC">
        <w:t xml:space="preserve">Konkrétní specifikaci jednotlivých </w:t>
      </w:r>
      <w:r>
        <w:t>činností v rámci poskytování Služeb</w:t>
      </w:r>
      <w:r w:rsidRPr="00E478FC">
        <w:t xml:space="preserve"> včetně maximální výše čerpatelných hodin uvádí tabulka č. </w:t>
      </w:r>
      <w:smartTag w:uri="urn:schemas-microsoft-com:office:smarttags" w:element="metricconverter">
        <w:smartTagPr>
          <w:attr w:name="ProductID" w:val="1 a"/>
        </w:smartTagPr>
        <w:r w:rsidRPr="00E478FC">
          <w:t xml:space="preserve">1 </w:t>
        </w:r>
        <w:r>
          <w:t>a</w:t>
        </w:r>
      </w:smartTag>
      <w:r>
        <w:t xml:space="preserve"> č. 2 </w:t>
      </w:r>
      <w:r w:rsidRPr="00E478FC">
        <w:t>níže.</w:t>
      </w:r>
    </w:p>
    <w:p w:rsidR="004823F7" w:rsidRPr="00E83FC2" w:rsidRDefault="004823F7" w:rsidP="00E712DF">
      <w:pPr>
        <w:pStyle w:val="Footer"/>
        <w:spacing w:after="40"/>
        <w:rPr>
          <w:b/>
          <w:sz w:val="20"/>
          <w:szCs w:val="20"/>
        </w:rPr>
      </w:pPr>
      <w:r w:rsidRPr="00E83FC2">
        <w:rPr>
          <w:b/>
          <w:sz w:val="20"/>
          <w:szCs w:val="20"/>
        </w:rPr>
        <w:t>1. Pro oblast: Služby „ICT programového/projektového řízení EnviUEP+rezortního architekta (senior)“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3"/>
        <w:gridCol w:w="1597"/>
      </w:tblGrid>
      <w:tr w:rsidR="004823F7" w:rsidRPr="009E126B" w:rsidTr="00E712DF">
        <w:trPr>
          <w:trHeight w:val="472"/>
        </w:trPr>
        <w:tc>
          <w:tcPr>
            <w:tcW w:w="6503" w:type="dxa"/>
            <w:vAlign w:val="center"/>
          </w:tcPr>
          <w:p w:rsidR="004823F7" w:rsidRPr="009E126B" w:rsidRDefault="004823F7" w:rsidP="00E712DF">
            <w:pPr>
              <w:spacing w:line="240" w:lineRule="auto"/>
              <w:ind w:left="72"/>
              <w:jc w:val="left"/>
              <w:rPr>
                <w:b/>
                <w:sz w:val="20"/>
                <w:szCs w:val="20"/>
              </w:rPr>
            </w:pPr>
            <w:r w:rsidRPr="009E126B">
              <w:rPr>
                <w:b/>
                <w:sz w:val="20"/>
                <w:szCs w:val="20"/>
              </w:rPr>
              <w:t>Činnost</w:t>
            </w:r>
          </w:p>
        </w:tc>
        <w:tc>
          <w:tcPr>
            <w:tcW w:w="1597" w:type="dxa"/>
            <w:vAlign w:val="center"/>
          </w:tcPr>
          <w:p w:rsidR="004823F7" w:rsidRPr="009E126B" w:rsidRDefault="004823F7" w:rsidP="00E712DF">
            <w:pPr>
              <w:spacing w:line="240" w:lineRule="auto"/>
              <w:ind w:left="49"/>
              <w:jc w:val="center"/>
              <w:rPr>
                <w:b/>
                <w:sz w:val="20"/>
                <w:szCs w:val="20"/>
              </w:rPr>
            </w:pPr>
            <w:r w:rsidRPr="009E126B">
              <w:rPr>
                <w:b/>
                <w:sz w:val="20"/>
                <w:szCs w:val="20"/>
              </w:rPr>
              <w:t>Počet hodin</w:t>
            </w:r>
          </w:p>
        </w:tc>
      </w:tr>
      <w:tr w:rsidR="004823F7" w:rsidRPr="009E126B" w:rsidTr="004C3653">
        <w:tc>
          <w:tcPr>
            <w:tcW w:w="6503" w:type="dxa"/>
          </w:tcPr>
          <w:p w:rsidR="004823F7" w:rsidRPr="00E712DF" w:rsidRDefault="004823F7" w:rsidP="00E712DF">
            <w:pPr>
              <w:spacing w:line="240" w:lineRule="auto"/>
              <w:ind w:left="72"/>
              <w:rPr>
                <w:rFonts w:ascii="Calibri" w:hAnsi="Calibri"/>
                <w:sz w:val="20"/>
                <w:szCs w:val="20"/>
              </w:rPr>
            </w:pPr>
            <w:r w:rsidRPr="00E712DF">
              <w:rPr>
                <w:rFonts w:ascii="Calibri" w:hAnsi="Calibri"/>
                <w:sz w:val="20"/>
                <w:szCs w:val="20"/>
              </w:rPr>
              <w:t>Zpracování podkladů a koordinační činnosti pro projektovou kancelář MŽP (nezbytné pro zajištění řízení projektů ICT).</w:t>
            </w:r>
          </w:p>
        </w:tc>
        <w:tc>
          <w:tcPr>
            <w:tcW w:w="1597" w:type="dxa"/>
            <w:vAlign w:val="center"/>
          </w:tcPr>
          <w:p w:rsidR="004823F7" w:rsidRPr="009E126B" w:rsidRDefault="004823F7" w:rsidP="004C3653">
            <w:pPr>
              <w:spacing w:line="240" w:lineRule="auto"/>
              <w:jc w:val="center"/>
              <w:rPr>
                <w:sz w:val="20"/>
                <w:szCs w:val="20"/>
              </w:rPr>
            </w:pPr>
            <w:r w:rsidRPr="009E126B">
              <w:rPr>
                <w:sz w:val="20"/>
                <w:szCs w:val="20"/>
              </w:rPr>
              <w:t>2</w:t>
            </w:r>
            <w:r>
              <w:rPr>
                <w:sz w:val="20"/>
                <w:szCs w:val="20"/>
              </w:rPr>
              <w:t>3</w:t>
            </w:r>
            <w:r w:rsidRPr="009E126B">
              <w:rPr>
                <w:sz w:val="20"/>
                <w:szCs w:val="20"/>
              </w:rPr>
              <w:t>0</w:t>
            </w:r>
          </w:p>
        </w:tc>
      </w:tr>
      <w:tr w:rsidR="004823F7" w:rsidRPr="009E126B" w:rsidTr="004C3653">
        <w:tc>
          <w:tcPr>
            <w:tcW w:w="6503" w:type="dxa"/>
          </w:tcPr>
          <w:p w:rsidR="004823F7" w:rsidRPr="00E712DF" w:rsidRDefault="004823F7" w:rsidP="00E712DF">
            <w:pPr>
              <w:spacing w:line="240" w:lineRule="auto"/>
              <w:ind w:left="72"/>
              <w:rPr>
                <w:rFonts w:ascii="Calibri" w:hAnsi="Calibri"/>
                <w:sz w:val="20"/>
                <w:szCs w:val="20"/>
              </w:rPr>
            </w:pPr>
            <w:r w:rsidRPr="00E712DF">
              <w:rPr>
                <w:rFonts w:ascii="Calibri" w:hAnsi="Calibri"/>
                <w:sz w:val="20"/>
                <w:szCs w:val="20"/>
              </w:rPr>
              <w:t>Zpracování TOGAF modelů architektury ICT rezortu životního prostředí (ve spolupráci a se zapojováním rezortních organizací).</w:t>
            </w:r>
          </w:p>
        </w:tc>
        <w:tc>
          <w:tcPr>
            <w:tcW w:w="1597" w:type="dxa"/>
            <w:vAlign w:val="center"/>
          </w:tcPr>
          <w:p w:rsidR="004823F7" w:rsidRPr="009E126B" w:rsidRDefault="004823F7" w:rsidP="004C3653">
            <w:pPr>
              <w:spacing w:line="240" w:lineRule="auto"/>
              <w:jc w:val="center"/>
              <w:rPr>
                <w:sz w:val="20"/>
                <w:szCs w:val="20"/>
              </w:rPr>
            </w:pPr>
            <w:r w:rsidRPr="009E126B">
              <w:rPr>
                <w:sz w:val="20"/>
                <w:szCs w:val="20"/>
              </w:rPr>
              <w:t>2</w:t>
            </w:r>
            <w:r>
              <w:rPr>
                <w:sz w:val="20"/>
                <w:szCs w:val="20"/>
              </w:rPr>
              <w:t>3</w:t>
            </w:r>
            <w:r w:rsidRPr="009E126B">
              <w:rPr>
                <w:sz w:val="20"/>
                <w:szCs w:val="20"/>
              </w:rPr>
              <w:t>0</w:t>
            </w:r>
          </w:p>
        </w:tc>
      </w:tr>
      <w:tr w:rsidR="004823F7" w:rsidRPr="009E126B" w:rsidTr="004C3653">
        <w:tc>
          <w:tcPr>
            <w:tcW w:w="6503" w:type="dxa"/>
          </w:tcPr>
          <w:p w:rsidR="004823F7" w:rsidRPr="00E712DF" w:rsidRDefault="004823F7" w:rsidP="00E712DF">
            <w:pPr>
              <w:spacing w:line="240" w:lineRule="auto"/>
              <w:ind w:left="72"/>
              <w:rPr>
                <w:rFonts w:ascii="Calibri" w:hAnsi="Calibri"/>
                <w:sz w:val="20"/>
                <w:szCs w:val="20"/>
              </w:rPr>
            </w:pPr>
            <w:r w:rsidRPr="00E712DF">
              <w:rPr>
                <w:rFonts w:ascii="Calibri" w:hAnsi="Calibri"/>
                <w:sz w:val="20"/>
                <w:szCs w:val="20"/>
              </w:rPr>
              <w:t>Koordinace projektů naplňujících Strategii ICT, pravidelný reporting a vedení ICT jednání.</w:t>
            </w:r>
          </w:p>
        </w:tc>
        <w:tc>
          <w:tcPr>
            <w:tcW w:w="1597" w:type="dxa"/>
            <w:vAlign w:val="center"/>
          </w:tcPr>
          <w:p w:rsidR="004823F7" w:rsidRPr="009E126B" w:rsidRDefault="004823F7" w:rsidP="004C3653">
            <w:pPr>
              <w:spacing w:line="240" w:lineRule="auto"/>
              <w:jc w:val="center"/>
              <w:rPr>
                <w:sz w:val="20"/>
                <w:szCs w:val="20"/>
              </w:rPr>
            </w:pPr>
            <w:r w:rsidRPr="009E126B">
              <w:rPr>
                <w:sz w:val="20"/>
                <w:szCs w:val="20"/>
              </w:rPr>
              <w:t>1</w:t>
            </w:r>
            <w:r>
              <w:rPr>
                <w:sz w:val="20"/>
                <w:szCs w:val="20"/>
              </w:rPr>
              <w:t>2</w:t>
            </w:r>
            <w:r w:rsidRPr="009E126B">
              <w:rPr>
                <w:sz w:val="20"/>
                <w:szCs w:val="20"/>
              </w:rPr>
              <w:t>0</w:t>
            </w:r>
          </w:p>
        </w:tc>
      </w:tr>
      <w:tr w:rsidR="004823F7" w:rsidRPr="009E126B" w:rsidTr="004C3653">
        <w:tc>
          <w:tcPr>
            <w:tcW w:w="6503" w:type="dxa"/>
          </w:tcPr>
          <w:p w:rsidR="004823F7" w:rsidRPr="00E712DF" w:rsidRDefault="004823F7" w:rsidP="00E712DF">
            <w:pPr>
              <w:spacing w:line="240" w:lineRule="auto"/>
              <w:ind w:left="72"/>
              <w:rPr>
                <w:rFonts w:ascii="Calibri" w:hAnsi="Calibri"/>
                <w:sz w:val="20"/>
                <w:szCs w:val="20"/>
              </w:rPr>
            </w:pPr>
            <w:r w:rsidRPr="00E712DF">
              <w:rPr>
                <w:rFonts w:ascii="Calibri" w:hAnsi="Calibri"/>
                <w:sz w:val="20"/>
                <w:szCs w:val="20"/>
              </w:rPr>
              <w:t>Řízení projektu EnviUEP na úrovni projektového manažera včetně zpracování a vedení potřebné dokumentace.</w:t>
            </w:r>
          </w:p>
        </w:tc>
        <w:tc>
          <w:tcPr>
            <w:tcW w:w="1597" w:type="dxa"/>
            <w:vAlign w:val="center"/>
          </w:tcPr>
          <w:p w:rsidR="004823F7" w:rsidRPr="009E126B" w:rsidRDefault="004823F7" w:rsidP="004C3653">
            <w:pPr>
              <w:spacing w:line="240" w:lineRule="auto"/>
              <w:jc w:val="center"/>
              <w:rPr>
                <w:sz w:val="20"/>
                <w:szCs w:val="20"/>
              </w:rPr>
            </w:pPr>
            <w:r w:rsidRPr="009E126B">
              <w:rPr>
                <w:sz w:val="20"/>
                <w:szCs w:val="20"/>
              </w:rPr>
              <w:t>600</w:t>
            </w:r>
          </w:p>
        </w:tc>
      </w:tr>
      <w:tr w:rsidR="004823F7" w:rsidRPr="009E126B" w:rsidTr="004C3653">
        <w:tc>
          <w:tcPr>
            <w:tcW w:w="6503" w:type="dxa"/>
          </w:tcPr>
          <w:p w:rsidR="004823F7" w:rsidRPr="00E712DF" w:rsidRDefault="004823F7" w:rsidP="00E712DF">
            <w:pPr>
              <w:spacing w:line="240" w:lineRule="auto"/>
              <w:ind w:left="72"/>
              <w:rPr>
                <w:rFonts w:ascii="Calibri" w:hAnsi="Calibri"/>
                <w:sz w:val="20"/>
                <w:szCs w:val="20"/>
              </w:rPr>
            </w:pPr>
            <w:r w:rsidRPr="00E712DF">
              <w:rPr>
                <w:rFonts w:ascii="Calibri" w:hAnsi="Calibri"/>
                <w:sz w:val="20"/>
                <w:szCs w:val="20"/>
              </w:rPr>
              <w:t>Příprava strategických ICT materiálů, posuzování ICT strategických materiálů eGovernmentu, slaďování vizí eGovernmentu s požadavky ICT rezortu, vypracování připomínek k strategickým materiálům v oblasti eGovernment za rezort životního prostředí s vazbou na architekturu IS rezortu.</w:t>
            </w:r>
          </w:p>
        </w:tc>
        <w:tc>
          <w:tcPr>
            <w:tcW w:w="1597" w:type="dxa"/>
            <w:vAlign w:val="center"/>
          </w:tcPr>
          <w:p w:rsidR="004823F7" w:rsidRPr="009E126B" w:rsidRDefault="004823F7" w:rsidP="004C3653">
            <w:pPr>
              <w:spacing w:line="240" w:lineRule="auto"/>
              <w:jc w:val="center"/>
              <w:rPr>
                <w:sz w:val="20"/>
                <w:szCs w:val="20"/>
              </w:rPr>
            </w:pPr>
            <w:r w:rsidRPr="009E126B">
              <w:rPr>
                <w:sz w:val="20"/>
                <w:szCs w:val="20"/>
              </w:rPr>
              <w:t>300</w:t>
            </w:r>
          </w:p>
        </w:tc>
      </w:tr>
      <w:tr w:rsidR="004823F7" w:rsidRPr="009E126B" w:rsidTr="004C3653">
        <w:tc>
          <w:tcPr>
            <w:tcW w:w="6503" w:type="dxa"/>
          </w:tcPr>
          <w:p w:rsidR="004823F7" w:rsidRPr="00E712DF" w:rsidRDefault="004823F7" w:rsidP="00E712DF">
            <w:pPr>
              <w:spacing w:line="240" w:lineRule="auto"/>
              <w:ind w:left="0"/>
              <w:rPr>
                <w:rFonts w:ascii="Calibri" w:hAnsi="Calibri"/>
                <w:sz w:val="20"/>
                <w:szCs w:val="20"/>
              </w:rPr>
            </w:pPr>
            <w:r w:rsidRPr="00E712DF">
              <w:rPr>
                <w:rFonts w:ascii="Calibri" w:hAnsi="Calibri"/>
                <w:sz w:val="20"/>
                <w:szCs w:val="20"/>
              </w:rPr>
              <w:t>Aktualizace a zpracování podkladů pro tvorbu koncepčních dokumentů v oblasti ICT rezortu (rozpracování Informační koncepce ČR do prostředí rezortu).</w:t>
            </w:r>
          </w:p>
        </w:tc>
        <w:tc>
          <w:tcPr>
            <w:tcW w:w="1597" w:type="dxa"/>
            <w:vAlign w:val="center"/>
          </w:tcPr>
          <w:p w:rsidR="004823F7" w:rsidRPr="009E126B" w:rsidRDefault="004823F7" w:rsidP="004C3653">
            <w:pPr>
              <w:spacing w:line="240" w:lineRule="auto"/>
              <w:jc w:val="center"/>
              <w:rPr>
                <w:sz w:val="20"/>
                <w:szCs w:val="20"/>
              </w:rPr>
            </w:pPr>
            <w:r>
              <w:rPr>
                <w:sz w:val="20"/>
                <w:szCs w:val="20"/>
              </w:rPr>
              <w:t>120</w:t>
            </w:r>
          </w:p>
        </w:tc>
      </w:tr>
      <w:tr w:rsidR="004823F7" w:rsidRPr="009E126B" w:rsidTr="004C3653">
        <w:tc>
          <w:tcPr>
            <w:tcW w:w="6503" w:type="dxa"/>
          </w:tcPr>
          <w:p w:rsidR="004823F7" w:rsidRPr="00E712DF" w:rsidRDefault="004823F7" w:rsidP="00E712DF">
            <w:pPr>
              <w:spacing w:line="240" w:lineRule="auto"/>
              <w:ind w:left="0"/>
              <w:rPr>
                <w:rFonts w:ascii="Calibri" w:hAnsi="Calibri"/>
                <w:b/>
                <w:sz w:val="20"/>
                <w:szCs w:val="20"/>
              </w:rPr>
            </w:pPr>
            <w:r w:rsidRPr="00E712DF">
              <w:rPr>
                <w:rFonts w:ascii="Calibri" w:hAnsi="Calibri"/>
                <w:b/>
                <w:sz w:val="20"/>
                <w:szCs w:val="20"/>
              </w:rPr>
              <w:t>Celkem</w:t>
            </w:r>
          </w:p>
        </w:tc>
        <w:tc>
          <w:tcPr>
            <w:tcW w:w="1597" w:type="dxa"/>
            <w:vAlign w:val="center"/>
          </w:tcPr>
          <w:p w:rsidR="004823F7" w:rsidRPr="009E126B" w:rsidRDefault="004823F7" w:rsidP="004C3653">
            <w:pPr>
              <w:keepNext/>
              <w:spacing w:line="240" w:lineRule="auto"/>
              <w:jc w:val="center"/>
              <w:rPr>
                <w:b/>
                <w:sz w:val="20"/>
                <w:szCs w:val="20"/>
              </w:rPr>
            </w:pPr>
            <w:r w:rsidRPr="009E126B">
              <w:rPr>
                <w:b/>
                <w:sz w:val="20"/>
                <w:szCs w:val="20"/>
              </w:rPr>
              <w:t>1</w:t>
            </w:r>
            <w:r>
              <w:rPr>
                <w:b/>
                <w:sz w:val="20"/>
                <w:szCs w:val="20"/>
              </w:rPr>
              <w:t>6</w:t>
            </w:r>
            <w:r w:rsidRPr="009E126B">
              <w:rPr>
                <w:b/>
                <w:sz w:val="20"/>
                <w:szCs w:val="20"/>
              </w:rPr>
              <w:t>00</w:t>
            </w:r>
          </w:p>
        </w:tc>
      </w:tr>
    </w:tbl>
    <w:p w:rsidR="004823F7" w:rsidRPr="005A5F55" w:rsidRDefault="004823F7" w:rsidP="00E712DF">
      <w:pPr>
        <w:pStyle w:val="Caption"/>
        <w:spacing w:after="120"/>
        <w:ind w:left="4956" w:firstLine="709"/>
        <w:rPr>
          <w:color w:val="000000"/>
        </w:rPr>
      </w:pPr>
      <w:r w:rsidRPr="005A5F55">
        <w:rPr>
          <w:color w:val="000000"/>
        </w:rPr>
        <w:t xml:space="preserve">Tabulka </w:t>
      </w:r>
      <w:r w:rsidRPr="005A5F55">
        <w:rPr>
          <w:color w:val="000000"/>
        </w:rPr>
        <w:fldChar w:fldCharType="begin"/>
      </w:r>
      <w:r w:rsidRPr="005A5F55">
        <w:rPr>
          <w:color w:val="000000"/>
        </w:rPr>
        <w:instrText xml:space="preserve"> SEQ Tabulka \* ARABIC </w:instrText>
      </w:r>
      <w:r w:rsidRPr="005A5F55">
        <w:rPr>
          <w:color w:val="000000"/>
        </w:rPr>
        <w:fldChar w:fldCharType="separate"/>
      </w:r>
      <w:r>
        <w:rPr>
          <w:noProof/>
          <w:color w:val="000000"/>
        </w:rPr>
        <w:t>1</w:t>
      </w:r>
      <w:r w:rsidRPr="005A5F55">
        <w:rPr>
          <w:color w:val="000000"/>
        </w:rPr>
        <w:fldChar w:fldCharType="end"/>
      </w:r>
      <w:r w:rsidRPr="005A5F55">
        <w:rPr>
          <w:color w:val="000000"/>
        </w:rPr>
        <w:t>: Specifikace činností</w:t>
      </w:r>
    </w:p>
    <w:p w:rsidR="004823F7" w:rsidRPr="00E83FC2" w:rsidRDefault="004823F7" w:rsidP="00E712DF">
      <w:pPr>
        <w:spacing w:after="40"/>
        <w:rPr>
          <w:b/>
          <w:sz w:val="20"/>
          <w:szCs w:val="20"/>
        </w:rPr>
      </w:pPr>
      <w:r w:rsidRPr="00E83FC2">
        <w:rPr>
          <w:b/>
          <w:sz w:val="20"/>
          <w:szCs w:val="20"/>
        </w:rPr>
        <w:t>2. Pro oblast: Služby „Projektového řízení (junior): OpenData“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gridCol w:w="1417"/>
      </w:tblGrid>
      <w:tr w:rsidR="004823F7" w:rsidRPr="009E126B" w:rsidTr="004E3737">
        <w:tc>
          <w:tcPr>
            <w:tcW w:w="6095" w:type="dxa"/>
          </w:tcPr>
          <w:p w:rsidR="004823F7" w:rsidRPr="009E126B" w:rsidRDefault="004823F7" w:rsidP="004E3737">
            <w:pPr>
              <w:spacing w:line="240" w:lineRule="auto"/>
              <w:rPr>
                <w:b/>
                <w:sz w:val="20"/>
                <w:szCs w:val="20"/>
              </w:rPr>
            </w:pPr>
            <w:r w:rsidRPr="009E126B">
              <w:rPr>
                <w:b/>
                <w:sz w:val="20"/>
                <w:szCs w:val="20"/>
              </w:rPr>
              <w:t>Činnost</w:t>
            </w:r>
          </w:p>
        </w:tc>
        <w:tc>
          <w:tcPr>
            <w:tcW w:w="1417" w:type="dxa"/>
          </w:tcPr>
          <w:p w:rsidR="004823F7" w:rsidRPr="009E126B" w:rsidRDefault="004823F7" w:rsidP="00AC4498">
            <w:pPr>
              <w:spacing w:line="240" w:lineRule="auto"/>
              <w:ind w:left="31" w:hanging="31"/>
              <w:jc w:val="center"/>
              <w:rPr>
                <w:b/>
                <w:sz w:val="20"/>
                <w:szCs w:val="20"/>
              </w:rPr>
            </w:pPr>
            <w:r w:rsidRPr="009E126B">
              <w:rPr>
                <w:b/>
                <w:sz w:val="20"/>
                <w:szCs w:val="20"/>
              </w:rPr>
              <w:t>Počet hodin</w:t>
            </w:r>
          </w:p>
        </w:tc>
      </w:tr>
      <w:tr w:rsidR="004823F7" w:rsidRPr="009E126B" w:rsidTr="004C3653">
        <w:tc>
          <w:tcPr>
            <w:tcW w:w="6095" w:type="dxa"/>
          </w:tcPr>
          <w:p w:rsidR="004823F7" w:rsidRPr="00AC4498" w:rsidRDefault="004823F7" w:rsidP="00AC4498">
            <w:pPr>
              <w:spacing w:line="240" w:lineRule="auto"/>
              <w:ind w:left="6"/>
              <w:rPr>
                <w:rFonts w:ascii="Calibri" w:hAnsi="Calibri"/>
                <w:sz w:val="20"/>
                <w:szCs w:val="20"/>
              </w:rPr>
            </w:pPr>
            <w:r w:rsidRPr="00AC4498">
              <w:rPr>
                <w:rFonts w:ascii="Calibri" w:hAnsi="Calibri"/>
                <w:sz w:val="20"/>
                <w:szCs w:val="20"/>
              </w:rPr>
              <w:t>Analýza rezortní datové základny dle Informační koncepce na referenční, autoritativní , vlastní údaje, dále na kmenová, transakční, číselníková, citlivá, osobní, metadata apod. za účelem vypracování téma rezortních otevřených dat podle Národního katalogu otevřených dat.</w:t>
            </w:r>
          </w:p>
        </w:tc>
        <w:tc>
          <w:tcPr>
            <w:tcW w:w="1417" w:type="dxa"/>
            <w:vAlign w:val="center"/>
          </w:tcPr>
          <w:p w:rsidR="004823F7" w:rsidRPr="009E126B" w:rsidRDefault="004823F7" w:rsidP="004C3653">
            <w:pPr>
              <w:spacing w:line="240" w:lineRule="auto"/>
              <w:jc w:val="center"/>
              <w:rPr>
                <w:sz w:val="20"/>
                <w:szCs w:val="20"/>
              </w:rPr>
            </w:pPr>
            <w:r>
              <w:rPr>
                <w:sz w:val="20"/>
                <w:szCs w:val="20"/>
              </w:rPr>
              <w:t>180</w:t>
            </w:r>
          </w:p>
        </w:tc>
      </w:tr>
      <w:tr w:rsidR="004823F7" w:rsidRPr="009E126B" w:rsidTr="004C3653">
        <w:tc>
          <w:tcPr>
            <w:tcW w:w="6095" w:type="dxa"/>
          </w:tcPr>
          <w:p w:rsidR="004823F7" w:rsidRPr="00AC4498" w:rsidRDefault="004823F7" w:rsidP="00AC4498">
            <w:pPr>
              <w:spacing w:line="240" w:lineRule="auto"/>
              <w:ind w:left="6"/>
              <w:rPr>
                <w:rFonts w:ascii="Calibri" w:hAnsi="Calibri"/>
                <w:sz w:val="20"/>
                <w:szCs w:val="20"/>
              </w:rPr>
            </w:pPr>
            <w:r w:rsidRPr="00AC4498">
              <w:rPr>
                <w:rFonts w:ascii="Calibri" w:hAnsi="Calibri"/>
                <w:sz w:val="20"/>
                <w:szCs w:val="20"/>
              </w:rPr>
              <w:t>Vypracování rezortních tématických okruhů otevřených dat, stanovení jejich periodicity, podpora při sestavení týmu redaktorů (věcných garantů témat otevřených dat).</w:t>
            </w:r>
          </w:p>
        </w:tc>
        <w:tc>
          <w:tcPr>
            <w:tcW w:w="1417" w:type="dxa"/>
            <w:vAlign w:val="center"/>
          </w:tcPr>
          <w:p w:rsidR="004823F7" w:rsidRPr="009E126B" w:rsidRDefault="004823F7" w:rsidP="004C3653">
            <w:pPr>
              <w:spacing w:line="240" w:lineRule="auto"/>
              <w:jc w:val="center"/>
              <w:rPr>
                <w:sz w:val="20"/>
                <w:szCs w:val="20"/>
              </w:rPr>
            </w:pPr>
            <w:r>
              <w:rPr>
                <w:sz w:val="20"/>
                <w:szCs w:val="20"/>
              </w:rPr>
              <w:t>180</w:t>
            </w:r>
          </w:p>
        </w:tc>
      </w:tr>
      <w:tr w:rsidR="004823F7" w:rsidRPr="009E126B" w:rsidTr="004C3653">
        <w:tc>
          <w:tcPr>
            <w:tcW w:w="6095" w:type="dxa"/>
          </w:tcPr>
          <w:p w:rsidR="004823F7" w:rsidRPr="00AC4498" w:rsidRDefault="004823F7" w:rsidP="00AC4498">
            <w:pPr>
              <w:spacing w:line="240" w:lineRule="auto"/>
              <w:ind w:left="6"/>
              <w:rPr>
                <w:rFonts w:ascii="Calibri" w:hAnsi="Calibri"/>
                <w:sz w:val="20"/>
                <w:szCs w:val="20"/>
              </w:rPr>
            </w:pPr>
            <w:r w:rsidRPr="00AC4498">
              <w:rPr>
                <w:rFonts w:ascii="Calibri" w:hAnsi="Calibri"/>
                <w:sz w:val="20"/>
                <w:szCs w:val="20"/>
              </w:rPr>
              <w:t>Zpracování popisu technického procesu uveřejňování otevřených dat (vypracování metodiky uveřejňování otevřených dat v rezortu) s vazbou na stávající způsob uveřejňování (včetně návrhů na zlepšení).</w:t>
            </w:r>
          </w:p>
        </w:tc>
        <w:tc>
          <w:tcPr>
            <w:tcW w:w="1417" w:type="dxa"/>
            <w:vAlign w:val="center"/>
          </w:tcPr>
          <w:p w:rsidR="004823F7" w:rsidRPr="009E126B" w:rsidRDefault="004823F7" w:rsidP="004C3653">
            <w:pPr>
              <w:spacing w:line="240" w:lineRule="auto"/>
              <w:jc w:val="center"/>
              <w:rPr>
                <w:sz w:val="20"/>
                <w:szCs w:val="20"/>
              </w:rPr>
            </w:pPr>
            <w:r>
              <w:rPr>
                <w:sz w:val="20"/>
                <w:szCs w:val="20"/>
              </w:rPr>
              <w:t>80</w:t>
            </w:r>
          </w:p>
        </w:tc>
      </w:tr>
      <w:tr w:rsidR="004823F7" w:rsidRPr="009E126B" w:rsidTr="004C3653">
        <w:tc>
          <w:tcPr>
            <w:tcW w:w="6095" w:type="dxa"/>
          </w:tcPr>
          <w:p w:rsidR="004823F7" w:rsidRPr="00AC4498" w:rsidRDefault="004823F7" w:rsidP="00AC4498">
            <w:pPr>
              <w:spacing w:line="240" w:lineRule="auto"/>
              <w:ind w:left="6"/>
              <w:rPr>
                <w:rFonts w:ascii="Calibri" w:hAnsi="Calibri"/>
                <w:sz w:val="20"/>
                <w:szCs w:val="20"/>
              </w:rPr>
            </w:pPr>
            <w:r w:rsidRPr="00AC4498">
              <w:rPr>
                <w:rFonts w:ascii="Calibri" w:hAnsi="Calibri"/>
                <w:sz w:val="20"/>
                <w:szCs w:val="20"/>
              </w:rPr>
              <w:t>Řízení a dohled nad prací redaktorů týmu (věcných garantů témat otevřených dat), spolupráce s publikačními pracovníky (web mastery) s cílem publikovat a pravidelně aktualizovat otevřená data na portále MŽP a portálech RO.</w:t>
            </w:r>
          </w:p>
        </w:tc>
        <w:tc>
          <w:tcPr>
            <w:tcW w:w="1417" w:type="dxa"/>
            <w:vAlign w:val="center"/>
          </w:tcPr>
          <w:p w:rsidR="004823F7" w:rsidRPr="009E126B" w:rsidRDefault="004823F7" w:rsidP="004C3653">
            <w:pPr>
              <w:spacing w:line="240" w:lineRule="auto"/>
              <w:jc w:val="center"/>
              <w:rPr>
                <w:sz w:val="20"/>
                <w:szCs w:val="20"/>
              </w:rPr>
            </w:pPr>
            <w:r>
              <w:rPr>
                <w:sz w:val="20"/>
                <w:szCs w:val="20"/>
              </w:rPr>
              <w:t>500</w:t>
            </w:r>
          </w:p>
        </w:tc>
      </w:tr>
      <w:tr w:rsidR="004823F7" w:rsidRPr="009E126B" w:rsidTr="004C3653">
        <w:tc>
          <w:tcPr>
            <w:tcW w:w="6095" w:type="dxa"/>
          </w:tcPr>
          <w:p w:rsidR="004823F7" w:rsidRPr="00AC4498" w:rsidRDefault="004823F7" w:rsidP="00AC4498">
            <w:pPr>
              <w:spacing w:line="240" w:lineRule="auto"/>
              <w:ind w:left="6"/>
              <w:rPr>
                <w:rFonts w:ascii="Calibri" w:hAnsi="Calibri"/>
                <w:sz w:val="20"/>
                <w:szCs w:val="20"/>
              </w:rPr>
            </w:pPr>
            <w:r w:rsidRPr="00AC4498">
              <w:rPr>
                <w:rFonts w:ascii="Calibri" w:hAnsi="Calibri"/>
                <w:sz w:val="20"/>
                <w:szCs w:val="20"/>
              </w:rPr>
              <w:t>Zpracování připomínek k strategickým materiálům v oblasti eGovernment za rezort životního prostředí s vazbou na architekturu IS. rezortu.</w:t>
            </w:r>
          </w:p>
        </w:tc>
        <w:tc>
          <w:tcPr>
            <w:tcW w:w="1417" w:type="dxa"/>
            <w:vAlign w:val="center"/>
          </w:tcPr>
          <w:p w:rsidR="004823F7" w:rsidRPr="009E126B" w:rsidRDefault="004823F7" w:rsidP="004C3653">
            <w:pPr>
              <w:spacing w:line="240" w:lineRule="auto"/>
              <w:jc w:val="center"/>
              <w:rPr>
                <w:sz w:val="20"/>
                <w:szCs w:val="20"/>
              </w:rPr>
            </w:pPr>
            <w:r>
              <w:rPr>
                <w:sz w:val="20"/>
                <w:szCs w:val="20"/>
              </w:rPr>
              <w:t>200</w:t>
            </w:r>
          </w:p>
        </w:tc>
      </w:tr>
      <w:tr w:rsidR="004823F7" w:rsidRPr="009E126B" w:rsidTr="004C3653">
        <w:tc>
          <w:tcPr>
            <w:tcW w:w="6095" w:type="dxa"/>
          </w:tcPr>
          <w:p w:rsidR="004823F7" w:rsidRPr="00AC4498" w:rsidRDefault="004823F7" w:rsidP="00AC4498">
            <w:pPr>
              <w:spacing w:line="240" w:lineRule="auto"/>
              <w:ind w:left="6"/>
              <w:rPr>
                <w:rFonts w:ascii="Calibri" w:hAnsi="Calibri"/>
                <w:sz w:val="20"/>
                <w:szCs w:val="20"/>
              </w:rPr>
            </w:pPr>
            <w:r w:rsidRPr="00AC4498">
              <w:rPr>
                <w:rFonts w:ascii="Calibri" w:hAnsi="Calibri"/>
                <w:sz w:val="20"/>
                <w:szCs w:val="20"/>
              </w:rPr>
              <w:t>Průběžné zpracovávání zápisů z porad, přehledů o zveřejňovaných otevřených datech a spolupráce s projektovou kanceláří, rezortním architektem a pracovníky odboru informatiky.</w:t>
            </w:r>
          </w:p>
        </w:tc>
        <w:tc>
          <w:tcPr>
            <w:tcW w:w="1417" w:type="dxa"/>
            <w:vAlign w:val="center"/>
          </w:tcPr>
          <w:p w:rsidR="004823F7" w:rsidRPr="009E126B" w:rsidRDefault="004823F7" w:rsidP="004C3653">
            <w:pPr>
              <w:spacing w:line="240" w:lineRule="auto"/>
              <w:jc w:val="center"/>
              <w:rPr>
                <w:sz w:val="20"/>
                <w:szCs w:val="20"/>
              </w:rPr>
            </w:pPr>
            <w:r>
              <w:rPr>
                <w:sz w:val="20"/>
                <w:szCs w:val="20"/>
              </w:rPr>
              <w:t>150</w:t>
            </w:r>
          </w:p>
        </w:tc>
      </w:tr>
      <w:tr w:rsidR="004823F7" w:rsidRPr="009E126B" w:rsidTr="004C3653">
        <w:tc>
          <w:tcPr>
            <w:tcW w:w="6095" w:type="dxa"/>
          </w:tcPr>
          <w:p w:rsidR="004823F7" w:rsidRPr="00AC4498" w:rsidRDefault="004823F7" w:rsidP="00AC4498">
            <w:pPr>
              <w:spacing w:line="240" w:lineRule="auto"/>
              <w:ind w:left="6"/>
              <w:rPr>
                <w:rFonts w:ascii="Calibri" w:hAnsi="Calibri"/>
                <w:b/>
                <w:sz w:val="20"/>
                <w:szCs w:val="20"/>
              </w:rPr>
            </w:pPr>
            <w:r w:rsidRPr="00AC4498">
              <w:rPr>
                <w:rFonts w:ascii="Calibri" w:hAnsi="Calibri"/>
                <w:b/>
                <w:sz w:val="20"/>
                <w:szCs w:val="20"/>
              </w:rPr>
              <w:t>Celkem</w:t>
            </w:r>
          </w:p>
        </w:tc>
        <w:tc>
          <w:tcPr>
            <w:tcW w:w="1417" w:type="dxa"/>
            <w:vAlign w:val="center"/>
          </w:tcPr>
          <w:p w:rsidR="004823F7" w:rsidRPr="009E126B" w:rsidRDefault="004823F7" w:rsidP="004C3653">
            <w:pPr>
              <w:keepNext/>
              <w:spacing w:line="240" w:lineRule="auto"/>
              <w:jc w:val="center"/>
              <w:rPr>
                <w:b/>
                <w:sz w:val="20"/>
                <w:szCs w:val="20"/>
              </w:rPr>
            </w:pPr>
            <w:r w:rsidRPr="009E126B">
              <w:rPr>
                <w:b/>
                <w:sz w:val="20"/>
                <w:szCs w:val="20"/>
              </w:rPr>
              <w:t>1</w:t>
            </w:r>
            <w:r>
              <w:rPr>
                <w:b/>
                <w:sz w:val="20"/>
                <w:szCs w:val="20"/>
              </w:rPr>
              <w:t>290</w:t>
            </w:r>
          </w:p>
        </w:tc>
      </w:tr>
    </w:tbl>
    <w:p w:rsidR="004823F7" w:rsidRPr="005A5F55" w:rsidRDefault="004823F7" w:rsidP="00E712DF">
      <w:pPr>
        <w:pStyle w:val="Caption"/>
        <w:ind w:left="4956" w:firstLine="708"/>
        <w:rPr>
          <w:color w:val="000000"/>
        </w:rPr>
      </w:pPr>
      <w:r w:rsidRPr="005A5F55">
        <w:rPr>
          <w:color w:val="000000"/>
        </w:rPr>
        <w:t xml:space="preserve">Tabulka </w:t>
      </w:r>
      <w:r>
        <w:rPr>
          <w:color w:val="000000"/>
        </w:rPr>
        <w:t>2</w:t>
      </w:r>
      <w:r w:rsidRPr="005A5F55">
        <w:rPr>
          <w:color w:val="000000"/>
        </w:rPr>
        <w:t>: Specifikace činností</w:t>
      </w:r>
    </w:p>
    <w:p w:rsidR="004823F7" w:rsidRPr="002E79A2" w:rsidRDefault="004823F7" w:rsidP="00E478FC">
      <w:pPr>
        <w:pStyle w:val="ListParagraph"/>
        <w:ind w:left="567"/>
      </w:pPr>
      <w:r w:rsidRPr="00E478FC">
        <w:t xml:space="preserve">Překročení maximální výše čerpání u jedné (či více) činností v Tabulce č. </w:t>
      </w:r>
      <w:smartTag w:uri="urn:schemas-microsoft-com:office:smarttags" w:element="metricconverter">
        <w:smartTagPr>
          <w:attr w:name="ProductID" w:val="1 a"/>
        </w:smartTagPr>
        <w:r w:rsidRPr="00E478FC">
          <w:t xml:space="preserve">1 </w:t>
        </w:r>
        <w:r>
          <w:t>a</w:t>
        </w:r>
      </w:smartTag>
      <w:r>
        <w:t xml:space="preserve"> č.2 </w:t>
      </w:r>
      <w:r w:rsidRPr="00E478FC">
        <w:t xml:space="preserve">je možné pouze na základě dohody Zadavatele a Poskytovatele. Překročení je možné vždy pouze na úkor jiné (jiných), doposud nevyčerpané (nevyčerpaných) hodin v rámci dalších činností. Celkový rozsah </w:t>
      </w:r>
      <w:r>
        <w:t>Služeb</w:t>
      </w:r>
      <w:r w:rsidRPr="00E478FC">
        <w:t xml:space="preserve"> včetně </w:t>
      </w:r>
      <w:r>
        <w:t>výše odměny</w:t>
      </w:r>
      <w:r w:rsidRPr="00E478FC">
        <w:t xml:space="preserve"> se tímto nezmění.</w:t>
      </w:r>
    </w:p>
    <w:p w:rsidR="004823F7" w:rsidRPr="002E79A2" w:rsidRDefault="004823F7" w:rsidP="00A1477B">
      <w:pPr>
        <w:pStyle w:val="Heading2"/>
        <w:numPr>
          <w:ilvl w:val="1"/>
          <w:numId w:val="26"/>
        </w:numPr>
        <w:ind w:left="567" w:hanging="567"/>
      </w:pPr>
      <w:r w:rsidRPr="002E79A2">
        <w:t xml:space="preserve">Dodavatel se zavazuje při plnění odst. </w:t>
      </w:r>
      <w:r>
        <w:t>2</w:t>
      </w:r>
      <w:r w:rsidRPr="002E79A2">
        <w:t xml:space="preserve">.1 tohoto článku postupovat v souladu s Obecnými pravidly pro žadatele a příjemce pro všechny specifické cíle a výzvy v aktuálním platném znění vydanými Ministerstvem pro místní rozvoj včetně Metodického pokynu pro oblast zadávání zakázek pro programové období </w:t>
      </w:r>
      <w:r>
        <w:t xml:space="preserve">roku </w:t>
      </w:r>
      <w:r w:rsidRPr="002E79A2">
        <w:t>2014</w:t>
      </w:r>
      <w:r>
        <w:t xml:space="preserve"> </w:t>
      </w:r>
      <w:r w:rsidRPr="002E79A2">
        <w:t xml:space="preserve">– </w:t>
      </w:r>
      <w:smartTag w:uri="urn:schemas-microsoft-com:office:smarttags" w:element="metricconverter">
        <w:smartTagPr>
          <w:attr w:name="ProductID" w:val="2020 a"/>
        </w:smartTagPr>
        <w:r w:rsidRPr="002E79A2">
          <w:t>2020 a</w:t>
        </w:r>
      </w:smartTag>
      <w:r w:rsidRPr="002E79A2">
        <w:t xml:space="preserve"> s dalšími relevantními dokumenty.</w:t>
      </w:r>
    </w:p>
    <w:p w:rsidR="004823F7" w:rsidRPr="002E79A2" w:rsidRDefault="004823F7" w:rsidP="00A1477B">
      <w:pPr>
        <w:pStyle w:val="ListParagraph"/>
        <w:numPr>
          <w:ilvl w:val="1"/>
          <w:numId w:val="26"/>
        </w:numPr>
        <w:ind w:left="567" w:hanging="567"/>
      </w:pPr>
      <w:r w:rsidRPr="002E79A2">
        <w:t xml:space="preserve">Objednatel se zavazuje zaplatit Dodavateli za řádně a včas poskytnuté Služby odměnu ve výši a způsobem dle čl. </w:t>
      </w:r>
      <w:r>
        <w:t>6</w:t>
      </w:r>
      <w:r w:rsidRPr="002E79A2">
        <w:t xml:space="preserve"> Smlouvy.</w:t>
      </w:r>
    </w:p>
    <w:p w:rsidR="004823F7" w:rsidRDefault="004823F7" w:rsidP="00A1477B">
      <w:pPr>
        <w:pStyle w:val="ListParagraph"/>
        <w:numPr>
          <w:ilvl w:val="1"/>
          <w:numId w:val="26"/>
        </w:numPr>
        <w:ind w:left="567" w:hanging="567"/>
      </w:pPr>
      <w:r w:rsidRPr="00A17FCC">
        <w:t xml:space="preserve">Služba bude splněna jejím předáním řádně a včas Objednateli, a to bez vad a nedodělků, a jejím převzetím a akceptací Objednatelem. Akceptace služby bude realizována schválením výkazu práce ze strany Objednatele, který bude součástí každé faktury vystavené Dodavatelem. </w:t>
      </w:r>
    </w:p>
    <w:p w:rsidR="004823F7" w:rsidRPr="00A17FCC" w:rsidRDefault="004823F7" w:rsidP="00F91254">
      <w:pPr>
        <w:pStyle w:val="ListParagraph"/>
        <w:ind w:left="0"/>
      </w:pPr>
    </w:p>
    <w:p w:rsidR="004823F7" w:rsidRPr="00A1477B" w:rsidRDefault="004823F7" w:rsidP="00A1477B">
      <w:pPr>
        <w:pStyle w:val="Heading1"/>
      </w:pPr>
      <w:r w:rsidRPr="00A1477B">
        <w:t>MÍSTO, DOBA A TERMÍNY PLNĚNÍ</w:t>
      </w:r>
    </w:p>
    <w:p w:rsidR="004823F7" w:rsidRPr="00A1477B" w:rsidRDefault="004823F7" w:rsidP="00A1477B">
      <w:pPr>
        <w:pStyle w:val="ListParagraph"/>
        <w:numPr>
          <w:ilvl w:val="1"/>
          <w:numId w:val="28"/>
        </w:numPr>
        <w:ind w:left="567" w:hanging="567"/>
      </w:pPr>
      <w:r>
        <w:t>Dodavatel</w:t>
      </w:r>
      <w:r w:rsidRPr="00A1477B">
        <w:t xml:space="preserve"> je povinen realizovat předmět plnění Smlouvy dle pokynů Objednatele či přímo v souladu se souvisejícími právními a prováděcími předpisy, akty řízení vlády České republiky a interními předpisy Objednatele.</w:t>
      </w:r>
    </w:p>
    <w:p w:rsidR="004823F7" w:rsidRPr="00A1477B" w:rsidRDefault="004823F7" w:rsidP="00A1477B">
      <w:pPr>
        <w:pStyle w:val="ListParagraph"/>
        <w:numPr>
          <w:ilvl w:val="1"/>
          <w:numId w:val="28"/>
        </w:numPr>
        <w:ind w:left="567" w:hanging="567"/>
      </w:pPr>
      <w:r w:rsidRPr="00A1477B">
        <w:t>Místem plnění Smlouvy je sídlo Objednatele (předávání výstupů, konzultace apod.), popř. další místa stanovená Objednatelem dle potřeby.</w:t>
      </w:r>
    </w:p>
    <w:p w:rsidR="004823F7" w:rsidRPr="002E79A2" w:rsidRDefault="004823F7" w:rsidP="00E872D4">
      <w:pPr>
        <w:pStyle w:val="ListParagraph"/>
        <w:numPr>
          <w:ilvl w:val="1"/>
          <w:numId w:val="28"/>
        </w:numPr>
        <w:ind w:left="567" w:hanging="567"/>
      </w:pPr>
      <w:r w:rsidRPr="00A1477B">
        <w:t>Tato Smlouva je uzavře</w:t>
      </w:r>
      <w:r>
        <w:t>na na dobu určitou.</w:t>
      </w:r>
      <w:r w:rsidRPr="00A1477B">
        <w:t xml:space="preserve"> Konkrétní termíny plnění budou vyplývat z pokynů Objednatele v rámci zadání činnosti či přímo ze souvisejících právních a prováděcích předpisů, aktů řízení vlády České republiky a interních předpisů Objednatele.</w:t>
      </w:r>
    </w:p>
    <w:p w:rsidR="004823F7" w:rsidRPr="002E79A2" w:rsidRDefault="004823F7" w:rsidP="002E79A2">
      <w:pPr>
        <w:pStyle w:val="Heading1"/>
      </w:pPr>
      <w:r w:rsidRPr="002E79A2">
        <w:t>PRÁVA A POVINNOSTI DODAVATELE</w:t>
      </w:r>
    </w:p>
    <w:p w:rsidR="004823F7" w:rsidRPr="002E79A2" w:rsidRDefault="004823F7" w:rsidP="00E872D4">
      <w:pPr>
        <w:pStyle w:val="ListParagraph"/>
        <w:numPr>
          <w:ilvl w:val="1"/>
          <w:numId w:val="29"/>
        </w:numPr>
        <w:ind w:left="567" w:hanging="567"/>
      </w:pPr>
      <w:r w:rsidRPr="002E79A2">
        <w:t>Dodavatel je povinen při plnění předmětu Smlouvy postupovat poctivě a pečlivě podle svých schopností; přitom je povinen použít každého prostředku, kterého vyžaduje povaha obstarávané záležitosti, jakož i takového, který se shoduje s vůlí Objednatele.</w:t>
      </w:r>
    </w:p>
    <w:p w:rsidR="004823F7" w:rsidRPr="002E79A2" w:rsidRDefault="004823F7" w:rsidP="00E872D4">
      <w:pPr>
        <w:pStyle w:val="ListParagraph"/>
        <w:numPr>
          <w:ilvl w:val="1"/>
          <w:numId w:val="29"/>
        </w:numPr>
        <w:ind w:left="567" w:hanging="567"/>
      </w:pPr>
      <w:r w:rsidRPr="002E79A2">
        <w:t>Dodavatel je povinen uskutečňovat předmětnou činnost podle pokynů Objednatele a v souladu s jeho zájmy a s příslušnými ustanoveními zejména Občanského zákoníku a v souladu s touto Smlouvou. V případě nevhodnosti pokynů Objednatele je Dodavatel povinen na jejich nevhodnost Objednatele upozornit, přičemž splní takový pokyn jen tehdy, když na něm Objednatel písemně trvá.</w:t>
      </w:r>
    </w:p>
    <w:p w:rsidR="004823F7" w:rsidRPr="002E79A2" w:rsidRDefault="004823F7" w:rsidP="00E872D4">
      <w:pPr>
        <w:pStyle w:val="ListParagraph"/>
        <w:numPr>
          <w:ilvl w:val="1"/>
          <w:numId w:val="29"/>
        </w:numPr>
        <w:ind w:left="567" w:hanging="567"/>
      </w:pPr>
      <w:r w:rsidRPr="002E79A2">
        <w:t>Dodavatel se zavazuje nahradit Objednateli případnou škodu, která vznikne v důsledku porušení povinností Dodavatelem, i škodu, která vznikne v důsledku činnosti Dodavatele na majetku či zdraví osob, a to bez omezení výše náhrady této škody. Dodavatel současně odpovídá za škody, které způsobili Objednateli či třetím osobám v souvislosti s poskytováním Služeb jeho zaměstnanci, subdodavateli či osoby v obdobném postavení porušením svých povinností.</w:t>
      </w:r>
    </w:p>
    <w:p w:rsidR="004823F7" w:rsidRPr="002E79A2" w:rsidRDefault="004823F7" w:rsidP="00E872D4">
      <w:pPr>
        <w:pStyle w:val="ListParagraph"/>
        <w:numPr>
          <w:ilvl w:val="1"/>
          <w:numId w:val="29"/>
        </w:numPr>
        <w:ind w:left="567" w:hanging="567"/>
      </w:pPr>
      <w:r w:rsidRPr="002E79A2">
        <w:t>Dodavatel je povinen bez zbytečného odkladu písemně oznámit Objednateli všechny okolnosti, které zjistil nebo měl zjistit při poskytování Služeb, a které mohou mít vliv na změnu pokynů nebo zájmů Objednatele.</w:t>
      </w:r>
    </w:p>
    <w:p w:rsidR="004823F7" w:rsidRPr="002E79A2" w:rsidRDefault="004823F7" w:rsidP="00E872D4">
      <w:pPr>
        <w:pStyle w:val="ListParagraph"/>
        <w:numPr>
          <w:ilvl w:val="1"/>
          <w:numId w:val="29"/>
        </w:numPr>
        <w:ind w:left="567" w:hanging="567"/>
      </w:pPr>
      <w:r w:rsidRPr="002E79A2">
        <w:t>Dodavatel je povinen předat bez zbytečného odkladu Objednateli veškerou dokumentaci, kterou za něho převzal během plnění Smlouvy. Dodavatel je povinen vrátit bez zbytečného odkladu Objednateli veškerou dokumentaci, kterou převzal od Objednatele během plnění Smlouvy a kterou bude Objednatel vyžadovat zpět.</w:t>
      </w:r>
    </w:p>
    <w:p w:rsidR="004823F7" w:rsidRPr="002E79A2" w:rsidRDefault="004823F7" w:rsidP="00E872D4">
      <w:pPr>
        <w:pStyle w:val="ListParagraph"/>
        <w:numPr>
          <w:ilvl w:val="1"/>
          <w:numId w:val="29"/>
        </w:numPr>
        <w:ind w:left="567" w:hanging="567"/>
      </w:pPr>
      <w:r w:rsidRPr="002E79A2">
        <w:t>Dodavatel čestně prohlašuje, že v době podpisu Smlouvy není podjat. Pokud by v průběhu plnění Smlouvy nastaly nové skutečnosti ve vztahu k jeho podjatosti, je Dodavatel povinen bezodkladně o tom písemně informovat Objednatele. Pokud tak neučiní, má se za to, že žádné změny nenastaly.</w:t>
      </w:r>
    </w:p>
    <w:p w:rsidR="004823F7" w:rsidRPr="002E79A2" w:rsidRDefault="004823F7" w:rsidP="00E872D4">
      <w:pPr>
        <w:pStyle w:val="ListParagraph"/>
        <w:numPr>
          <w:ilvl w:val="1"/>
          <w:numId w:val="29"/>
        </w:numPr>
        <w:ind w:left="567" w:hanging="567"/>
      </w:pPr>
      <w:r w:rsidRPr="002E79A2">
        <w:t>Dodavatel je povinen zachovávat mlčenlivost o všech údajích, které jsou obsaženy v projektových, technických a realizačních podkladech, nebo o jiných skutečnostech, se kterými přišel při plnění Smlouvy do styku. Tyto Objednatel bezvýhradně označuje jako důvěrné. Tato povinnost trvá i po skončení trvání této Smlouvy.</w:t>
      </w:r>
    </w:p>
    <w:p w:rsidR="004823F7" w:rsidRPr="002E79A2" w:rsidRDefault="004823F7" w:rsidP="00E872D4">
      <w:pPr>
        <w:pStyle w:val="ListParagraph"/>
        <w:numPr>
          <w:ilvl w:val="1"/>
          <w:numId w:val="29"/>
        </w:numPr>
        <w:ind w:left="567" w:hanging="567"/>
      </w:pPr>
      <w:r w:rsidRPr="002E79A2">
        <w:t>Dodavatel je povinen uchovávat veškerou dokumentaci související s realizací projektu a poskytovat požadované informace a dokumentaci související s realizací projektu zaměstnancům nebo zmocněncům pověřených orgánů (Centra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Tato povinnost trvá i po skončení trvání této Smlouvy.</w:t>
      </w:r>
    </w:p>
    <w:p w:rsidR="004823F7" w:rsidRPr="002E79A2" w:rsidRDefault="004823F7" w:rsidP="00E872D4">
      <w:pPr>
        <w:pStyle w:val="ListParagraph"/>
        <w:numPr>
          <w:ilvl w:val="1"/>
          <w:numId w:val="29"/>
        </w:numPr>
        <w:ind w:left="567" w:hanging="567"/>
      </w:pPr>
      <w:r w:rsidRPr="002E79A2">
        <w:t>Dodavatel bezvýhradně souhlasí se zveřejněním své identifikace a plného znění Smlouvy včetně cen v souladu s příslušnými právními předpisy. Zveřejnění obsahu Smlouvy nemůže být považováno za porušení povinnosti mlčenlivosti.</w:t>
      </w:r>
    </w:p>
    <w:p w:rsidR="004823F7" w:rsidRPr="002E79A2" w:rsidRDefault="004823F7" w:rsidP="00E872D4">
      <w:pPr>
        <w:pStyle w:val="Heading1"/>
        <w:numPr>
          <w:ilvl w:val="0"/>
          <w:numId w:val="29"/>
        </w:numPr>
        <w:ind w:left="357" w:hanging="357"/>
      </w:pPr>
      <w:r w:rsidRPr="002E79A2">
        <w:t>PRÁVA A POVINNOSTI OBJEDNATELE</w:t>
      </w:r>
    </w:p>
    <w:p w:rsidR="004823F7" w:rsidRPr="002E79A2" w:rsidRDefault="004823F7" w:rsidP="00E872D4">
      <w:pPr>
        <w:pStyle w:val="ListParagraph"/>
        <w:numPr>
          <w:ilvl w:val="1"/>
          <w:numId w:val="29"/>
        </w:numPr>
        <w:ind w:left="567" w:hanging="567"/>
      </w:pPr>
      <w:r w:rsidRPr="002E79A2">
        <w:t xml:space="preserve">Požadavky na konkrétní plnění dle článku </w:t>
      </w:r>
      <w:r>
        <w:t>2</w:t>
      </w:r>
      <w:r w:rsidRPr="002E79A2">
        <w:t xml:space="preserve"> odst. </w:t>
      </w:r>
      <w:r>
        <w:t>2.</w:t>
      </w:r>
      <w:r w:rsidRPr="002E79A2">
        <w:t xml:space="preserve">1 Smlouvy bude Objednatel Dodavateli zadávat průběžně dle svých potřeb prostřednictvím své kontaktní osoby, kterou je </w:t>
      </w:r>
      <w:r w:rsidRPr="007F4452">
        <w:rPr>
          <w:highlight w:val="green"/>
        </w:rPr>
        <w:t>[doplní objednatel]</w:t>
      </w:r>
      <w:r w:rsidRPr="002E79A2">
        <w:t>.</w:t>
      </w:r>
    </w:p>
    <w:p w:rsidR="004823F7" w:rsidRPr="002E79A2" w:rsidRDefault="004823F7" w:rsidP="00E872D4">
      <w:pPr>
        <w:pStyle w:val="ListParagraph"/>
        <w:numPr>
          <w:ilvl w:val="1"/>
          <w:numId w:val="29"/>
        </w:numPr>
        <w:ind w:left="567" w:hanging="567"/>
      </w:pPr>
      <w:r w:rsidRPr="002E79A2">
        <w:t>Objednatel je povinen předat včas Dodavateli úplné, pravdivé a přehledné informace a případné listiny a dokumenty, jež jsou nezbytně nutné k plnění Smlouvy, pokud z jejich povahy nevyplývá, že je má zajistit Dodavatel v rámci své činnosti dle Smlouvy. Objednatel je povinen poskytovat Dodavateli během plnění Smlouvy přiměřenou další součinnost.</w:t>
      </w:r>
    </w:p>
    <w:p w:rsidR="004823F7" w:rsidRPr="002E79A2" w:rsidRDefault="004823F7" w:rsidP="00E872D4">
      <w:pPr>
        <w:pStyle w:val="Heading1"/>
        <w:numPr>
          <w:ilvl w:val="0"/>
          <w:numId w:val="29"/>
        </w:numPr>
        <w:ind w:left="357" w:hanging="357"/>
      </w:pPr>
      <w:r w:rsidRPr="002E79A2">
        <w:t>ODMĚNA DODAVATELE A PLATEBNÍ PODMÍNKY</w:t>
      </w:r>
    </w:p>
    <w:p w:rsidR="004823F7" w:rsidRDefault="004823F7" w:rsidP="00E872D4">
      <w:pPr>
        <w:pStyle w:val="ListParagraph"/>
        <w:numPr>
          <w:ilvl w:val="1"/>
          <w:numId w:val="29"/>
        </w:numPr>
        <w:ind w:left="567" w:hanging="567"/>
      </w:pPr>
      <w:r w:rsidRPr="002E79A2">
        <w:t xml:space="preserve">Odměna Dodavatele za poskytování Služeb, které jsou předmětem Smlouvy, bude činit nejvýše </w:t>
      </w:r>
      <w:r w:rsidRPr="002E79A2">
        <w:rPr>
          <w:highlight w:val="yellow"/>
        </w:rPr>
        <w:t>[doplní účastník]</w:t>
      </w:r>
      <w:r w:rsidRPr="002E79A2">
        <w:t>,- Kč bez DPH</w:t>
      </w:r>
      <w:r>
        <w:t xml:space="preserve">, </w:t>
      </w:r>
      <w:r w:rsidRPr="002E79A2">
        <w:rPr>
          <w:highlight w:val="yellow"/>
        </w:rPr>
        <w:t>[doplní účastník]</w:t>
      </w:r>
      <w:r w:rsidRPr="002E79A2">
        <w:t xml:space="preserve">,- Kč </w:t>
      </w:r>
      <w:r>
        <w:t>s </w:t>
      </w:r>
      <w:r w:rsidRPr="002E79A2">
        <w:t>DPH</w:t>
      </w:r>
      <w:r>
        <w:t>.</w:t>
      </w:r>
      <w:r w:rsidRPr="002E79A2">
        <w:t xml:space="preserve"> Dodavatel </w:t>
      </w:r>
      <w:r w:rsidRPr="00E872D4">
        <w:rPr>
          <w:highlight w:val="yellow"/>
        </w:rPr>
        <w:t>je/není</w:t>
      </w:r>
      <w:r>
        <w:rPr>
          <w:highlight w:val="yellow"/>
        </w:rPr>
        <w:t xml:space="preserve"> </w:t>
      </w:r>
      <w:r w:rsidRPr="002E79A2">
        <w:rPr>
          <w:highlight w:val="yellow"/>
        </w:rPr>
        <w:t>[doplní účastník]</w:t>
      </w:r>
      <w:r w:rsidRPr="002E79A2">
        <w:t xml:space="preserve"> plátcem daně z přidané hodnoty (dále „</w:t>
      </w:r>
      <w:r w:rsidRPr="002E79A2">
        <w:rPr>
          <w:b/>
        </w:rPr>
        <w:t>DPH</w:t>
      </w:r>
      <w:r w:rsidRPr="002E79A2">
        <w:t>“).</w:t>
      </w:r>
    </w:p>
    <w:p w:rsidR="004823F7" w:rsidRDefault="004823F7" w:rsidP="00154F64">
      <w:pPr>
        <w:pStyle w:val="ListParagraph"/>
        <w:numPr>
          <w:ilvl w:val="1"/>
          <w:numId w:val="29"/>
        </w:numPr>
        <w:ind w:left="567" w:hanging="567"/>
      </w:pPr>
      <w:r>
        <w:t>Odměna je stanovena jako součet součinů hodinových sazeb a počtu hodin za dílčí služby. Hodinové sazby v Kč za poskytování jednotlivých činností jsou uvedené v tabulce č. 3 a 4.</w:t>
      </w: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5"/>
        <w:gridCol w:w="1083"/>
        <w:gridCol w:w="1083"/>
        <w:gridCol w:w="1083"/>
        <w:gridCol w:w="1083"/>
        <w:gridCol w:w="1083"/>
      </w:tblGrid>
      <w:tr w:rsidR="004823F7" w:rsidRPr="00154F64" w:rsidTr="001D4F6D">
        <w:tc>
          <w:tcPr>
            <w:tcW w:w="1866" w:type="pct"/>
          </w:tcPr>
          <w:p w:rsidR="004823F7" w:rsidRPr="00DD4355" w:rsidRDefault="004823F7" w:rsidP="00DD4355">
            <w:pPr>
              <w:spacing w:before="60" w:after="60" w:line="240" w:lineRule="auto"/>
              <w:ind w:left="0"/>
              <w:rPr>
                <w:b/>
                <w:sz w:val="18"/>
                <w:szCs w:val="18"/>
                <w:lang w:val="en-US"/>
              </w:rPr>
            </w:pPr>
            <w:r w:rsidRPr="00DD4355">
              <w:rPr>
                <w:b/>
                <w:sz w:val="18"/>
                <w:szCs w:val="18"/>
                <w:lang w:val="en-US"/>
              </w:rPr>
              <w:t>Činnost</w:t>
            </w:r>
          </w:p>
        </w:tc>
        <w:tc>
          <w:tcPr>
            <w:tcW w:w="626" w:type="pct"/>
          </w:tcPr>
          <w:p w:rsidR="004823F7" w:rsidRPr="00DD4355" w:rsidRDefault="004823F7" w:rsidP="00DD4355">
            <w:pPr>
              <w:spacing w:before="60" w:after="60" w:line="240" w:lineRule="auto"/>
              <w:ind w:left="0"/>
              <w:rPr>
                <w:b/>
                <w:sz w:val="18"/>
                <w:szCs w:val="18"/>
                <w:lang w:val="en-US"/>
              </w:rPr>
            </w:pPr>
            <w:r w:rsidRPr="00DD4355">
              <w:rPr>
                <w:b/>
                <w:sz w:val="18"/>
                <w:szCs w:val="18"/>
                <w:lang w:val="en-US"/>
              </w:rPr>
              <w:t>Počet hodin</w:t>
            </w:r>
          </w:p>
        </w:tc>
        <w:tc>
          <w:tcPr>
            <w:tcW w:w="627" w:type="pct"/>
          </w:tcPr>
          <w:p w:rsidR="004823F7" w:rsidRPr="00DD4355" w:rsidRDefault="004823F7" w:rsidP="00DD4355">
            <w:pPr>
              <w:spacing w:before="60" w:after="60" w:line="240" w:lineRule="auto"/>
              <w:ind w:left="0"/>
              <w:rPr>
                <w:b/>
                <w:sz w:val="18"/>
                <w:szCs w:val="18"/>
                <w:lang w:val="en-US"/>
              </w:rPr>
            </w:pPr>
            <w:r w:rsidRPr="00DD4355">
              <w:rPr>
                <w:b/>
                <w:sz w:val="18"/>
                <w:szCs w:val="18"/>
                <w:lang w:val="en-US"/>
              </w:rPr>
              <w:t>Hodinová sazba bez DPH</w:t>
            </w:r>
          </w:p>
        </w:tc>
        <w:tc>
          <w:tcPr>
            <w:tcW w:w="627" w:type="pct"/>
          </w:tcPr>
          <w:p w:rsidR="004823F7" w:rsidRPr="00DD4355" w:rsidRDefault="004823F7" w:rsidP="00DD4355">
            <w:pPr>
              <w:spacing w:before="60" w:after="60" w:line="240" w:lineRule="auto"/>
              <w:ind w:left="0"/>
              <w:rPr>
                <w:b/>
                <w:sz w:val="18"/>
                <w:szCs w:val="18"/>
                <w:lang w:val="en-US"/>
              </w:rPr>
            </w:pPr>
            <w:r w:rsidRPr="00DD4355">
              <w:rPr>
                <w:b/>
                <w:sz w:val="18"/>
                <w:szCs w:val="18"/>
                <w:lang w:val="en-US"/>
              </w:rPr>
              <w:t>Hodinová sazba s</w:t>
            </w:r>
            <w:r>
              <w:rPr>
                <w:b/>
                <w:sz w:val="18"/>
                <w:szCs w:val="18"/>
                <w:lang w:val="en-US"/>
              </w:rPr>
              <w:t> </w:t>
            </w:r>
            <w:r w:rsidRPr="00DD4355">
              <w:rPr>
                <w:b/>
                <w:sz w:val="18"/>
                <w:szCs w:val="18"/>
                <w:lang w:val="en-US"/>
              </w:rPr>
              <w:t xml:space="preserve">DPH </w:t>
            </w:r>
          </w:p>
        </w:tc>
        <w:tc>
          <w:tcPr>
            <w:tcW w:w="627" w:type="pct"/>
          </w:tcPr>
          <w:p w:rsidR="004823F7" w:rsidRPr="00DD4355" w:rsidRDefault="004823F7" w:rsidP="00DD4355">
            <w:pPr>
              <w:spacing w:before="60" w:after="60" w:line="240" w:lineRule="auto"/>
              <w:ind w:left="0"/>
              <w:rPr>
                <w:b/>
                <w:sz w:val="18"/>
                <w:szCs w:val="18"/>
                <w:lang w:val="en-US"/>
              </w:rPr>
            </w:pPr>
            <w:r w:rsidRPr="00DD4355">
              <w:rPr>
                <w:b/>
                <w:sz w:val="18"/>
                <w:szCs w:val="18"/>
                <w:lang w:val="en-US"/>
              </w:rPr>
              <w:t>DPH v Kč</w:t>
            </w:r>
          </w:p>
        </w:tc>
        <w:tc>
          <w:tcPr>
            <w:tcW w:w="628" w:type="pct"/>
          </w:tcPr>
          <w:p w:rsidR="004823F7" w:rsidRPr="00DD4355" w:rsidRDefault="004823F7" w:rsidP="00DD4355">
            <w:pPr>
              <w:spacing w:before="60" w:after="60" w:line="240" w:lineRule="auto"/>
              <w:ind w:left="0"/>
              <w:rPr>
                <w:b/>
                <w:sz w:val="18"/>
                <w:szCs w:val="18"/>
                <w:lang w:val="en-US"/>
              </w:rPr>
            </w:pPr>
            <w:r w:rsidRPr="00DD4355">
              <w:rPr>
                <w:b/>
                <w:sz w:val="18"/>
                <w:szCs w:val="18"/>
                <w:lang w:val="en-US"/>
              </w:rPr>
              <w:t>DPH %</w:t>
            </w:r>
          </w:p>
        </w:tc>
      </w:tr>
      <w:tr w:rsidR="004823F7" w:rsidRPr="00073928" w:rsidTr="001D4F6D">
        <w:tc>
          <w:tcPr>
            <w:tcW w:w="5000" w:type="pct"/>
            <w:gridSpan w:val="6"/>
          </w:tcPr>
          <w:p w:rsidR="004823F7" w:rsidRPr="00073928" w:rsidRDefault="004823F7" w:rsidP="001D4F6D">
            <w:pPr>
              <w:spacing w:before="60" w:after="60" w:line="240" w:lineRule="auto"/>
              <w:ind w:left="0"/>
              <w:rPr>
                <w:b/>
                <w:sz w:val="18"/>
                <w:szCs w:val="18"/>
              </w:rPr>
            </w:pPr>
            <w:r>
              <w:rPr>
                <w:b/>
                <w:sz w:val="20"/>
                <w:szCs w:val="20"/>
              </w:rPr>
              <w:t xml:space="preserve">Služby </w:t>
            </w:r>
            <w:r w:rsidRPr="00E83FC2">
              <w:rPr>
                <w:b/>
                <w:sz w:val="20"/>
                <w:szCs w:val="20"/>
              </w:rPr>
              <w:t>„ICT programového/projektového řízení EnviUEP+rezortního architekta (senior)“</w:t>
            </w:r>
          </w:p>
        </w:tc>
      </w:tr>
      <w:tr w:rsidR="004823F7" w:rsidRPr="00154F64" w:rsidTr="004C3653">
        <w:tc>
          <w:tcPr>
            <w:tcW w:w="1866" w:type="pct"/>
          </w:tcPr>
          <w:p w:rsidR="004823F7" w:rsidRPr="00161A35" w:rsidRDefault="004823F7" w:rsidP="001D4F6D">
            <w:pPr>
              <w:spacing w:line="240" w:lineRule="auto"/>
              <w:ind w:left="0" w:hanging="12"/>
              <w:rPr>
                <w:sz w:val="16"/>
                <w:szCs w:val="16"/>
              </w:rPr>
            </w:pPr>
            <w:r w:rsidRPr="00161A35">
              <w:rPr>
                <w:sz w:val="16"/>
                <w:szCs w:val="16"/>
              </w:rPr>
              <w:t>Zpracování podkladů a koordinační činnosti pro projektovou kancelář MŽP (nezbytné pro zajištění řízení projektů ICT).</w:t>
            </w:r>
          </w:p>
        </w:tc>
        <w:tc>
          <w:tcPr>
            <w:tcW w:w="626" w:type="pct"/>
            <w:vAlign w:val="center"/>
          </w:tcPr>
          <w:p w:rsidR="004823F7" w:rsidRPr="009E126B" w:rsidRDefault="004823F7" w:rsidP="004C3653">
            <w:pPr>
              <w:spacing w:line="240" w:lineRule="auto"/>
              <w:ind w:left="0"/>
              <w:jc w:val="center"/>
              <w:rPr>
                <w:sz w:val="20"/>
                <w:szCs w:val="20"/>
              </w:rPr>
            </w:pPr>
            <w:r w:rsidRPr="009E126B">
              <w:rPr>
                <w:sz w:val="20"/>
                <w:szCs w:val="20"/>
              </w:rPr>
              <w:t>2</w:t>
            </w:r>
            <w:r>
              <w:rPr>
                <w:sz w:val="20"/>
                <w:szCs w:val="20"/>
              </w:rPr>
              <w:t>3</w:t>
            </w:r>
            <w:r w:rsidRPr="009E126B">
              <w:rPr>
                <w:sz w:val="20"/>
                <w:szCs w:val="20"/>
              </w:rPr>
              <w:t>0</w:t>
            </w: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8" w:type="pct"/>
          </w:tcPr>
          <w:p w:rsidR="004823F7" w:rsidRPr="00DD4355" w:rsidRDefault="004823F7" w:rsidP="00DD4355">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Zpracování TOGAF modelů architektury ICT rezortu životního prostředí (ve spolupráci a se zapojováním rezortních organizací).</w:t>
            </w:r>
          </w:p>
        </w:tc>
        <w:tc>
          <w:tcPr>
            <w:tcW w:w="626" w:type="pct"/>
            <w:vAlign w:val="center"/>
          </w:tcPr>
          <w:p w:rsidR="004823F7" w:rsidRPr="009E126B" w:rsidRDefault="004823F7" w:rsidP="004C3653">
            <w:pPr>
              <w:spacing w:line="240" w:lineRule="auto"/>
              <w:ind w:left="0"/>
              <w:jc w:val="center"/>
              <w:rPr>
                <w:sz w:val="20"/>
                <w:szCs w:val="20"/>
              </w:rPr>
            </w:pPr>
            <w:r w:rsidRPr="009E126B">
              <w:rPr>
                <w:sz w:val="20"/>
                <w:szCs w:val="20"/>
              </w:rPr>
              <w:t>2</w:t>
            </w:r>
            <w:r>
              <w:rPr>
                <w:sz w:val="20"/>
                <w:szCs w:val="20"/>
              </w:rPr>
              <w:t>3</w:t>
            </w:r>
            <w:r w:rsidRPr="009E126B">
              <w:rPr>
                <w:sz w:val="20"/>
                <w:szCs w:val="20"/>
              </w:rPr>
              <w:t>0</w:t>
            </w: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8" w:type="pct"/>
          </w:tcPr>
          <w:p w:rsidR="004823F7" w:rsidRPr="00DD4355" w:rsidRDefault="004823F7" w:rsidP="00DD4355">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Koordinace projektů naplňujících Strategii ICT, pravidelný reporting a vedení ICT jednání.</w:t>
            </w:r>
          </w:p>
        </w:tc>
        <w:tc>
          <w:tcPr>
            <w:tcW w:w="626" w:type="pct"/>
            <w:vAlign w:val="center"/>
          </w:tcPr>
          <w:p w:rsidR="004823F7" w:rsidRPr="009E126B" w:rsidRDefault="004823F7" w:rsidP="004C3653">
            <w:pPr>
              <w:spacing w:line="240" w:lineRule="auto"/>
              <w:ind w:left="0"/>
              <w:jc w:val="center"/>
              <w:rPr>
                <w:sz w:val="20"/>
                <w:szCs w:val="20"/>
              </w:rPr>
            </w:pPr>
            <w:r w:rsidRPr="009E126B">
              <w:rPr>
                <w:sz w:val="20"/>
                <w:szCs w:val="20"/>
              </w:rPr>
              <w:t>1</w:t>
            </w:r>
            <w:r>
              <w:rPr>
                <w:sz w:val="20"/>
                <w:szCs w:val="20"/>
              </w:rPr>
              <w:t>2</w:t>
            </w:r>
            <w:r w:rsidRPr="009E126B">
              <w:rPr>
                <w:sz w:val="20"/>
                <w:szCs w:val="20"/>
              </w:rPr>
              <w:t>0</w:t>
            </w: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8" w:type="pct"/>
          </w:tcPr>
          <w:p w:rsidR="004823F7" w:rsidRPr="00DD4355" w:rsidRDefault="004823F7" w:rsidP="00DD4355">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Řízení projektu EnviUEP na úrovni projektového manažera včetně zpracování a vedení potřebné dokumentace.</w:t>
            </w:r>
          </w:p>
        </w:tc>
        <w:tc>
          <w:tcPr>
            <w:tcW w:w="626" w:type="pct"/>
            <w:vAlign w:val="center"/>
          </w:tcPr>
          <w:p w:rsidR="004823F7" w:rsidRPr="009E126B" w:rsidRDefault="004823F7" w:rsidP="004C3653">
            <w:pPr>
              <w:spacing w:line="240" w:lineRule="auto"/>
              <w:ind w:left="0"/>
              <w:jc w:val="center"/>
              <w:rPr>
                <w:sz w:val="20"/>
                <w:szCs w:val="20"/>
              </w:rPr>
            </w:pPr>
            <w:r w:rsidRPr="009E126B">
              <w:rPr>
                <w:sz w:val="20"/>
                <w:szCs w:val="20"/>
              </w:rPr>
              <w:t>600</w:t>
            </w: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8" w:type="pct"/>
          </w:tcPr>
          <w:p w:rsidR="004823F7" w:rsidRPr="00DD4355" w:rsidRDefault="004823F7" w:rsidP="00DD4355">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Příprava strategických ICT materiálů, posuzování ICT strategických materiálů eGovernmentu, slaďování vizí eGovernmentu s požadavky ICT rezortu, vypracování připomínek k strategickým materiálům v oblasti eGovernment za rezort životního prostředí s vazbou na architekturu IS rezortu.</w:t>
            </w:r>
          </w:p>
        </w:tc>
        <w:tc>
          <w:tcPr>
            <w:tcW w:w="626" w:type="pct"/>
            <w:vAlign w:val="center"/>
          </w:tcPr>
          <w:p w:rsidR="004823F7" w:rsidRPr="009E126B" w:rsidRDefault="004823F7" w:rsidP="004C3653">
            <w:pPr>
              <w:spacing w:line="240" w:lineRule="auto"/>
              <w:ind w:left="0"/>
              <w:jc w:val="center"/>
              <w:rPr>
                <w:sz w:val="20"/>
                <w:szCs w:val="20"/>
              </w:rPr>
            </w:pPr>
            <w:r w:rsidRPr="009E126B">
              <w:rPr>
                <w:sz w:val="20"/>
                <w:szCs w:val="20"/>
              </w:rPr>
              <w:t>300</w:t>
            </w: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8" w:type="pct"/>
          </w:tcPr>
          <w:p w:rsidR="004823F7" w:rsidRPr="00DD4355" w:rsidRDefault="004823F7" w:rsidP="00DD4355">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Aktualizace a zpracování podkladů pro tvorbu koncepčních dokumentů v oblasti ICT rezortu (rozpracování Informační koncepce ČR do prostředí rezortu).</w:t>
            </w:r>
          </w:p>
        </w:tc>
        <w:tc>
          <w:tcPr>
            <w:tcW w:w="626" w:type="pct"/>
            <w:vAlign w:val="center"/>
          </w:tcPr>
          <w:p w:rsidR="004823F7" w:rsidRPr="009E126B" w:rsidRDefault="004823F7" w:rsidP="004C3653">
            <w:pPr>
              <w:spacing w:line="240" w:lineRule="auto"/>
              <w:ind w:left="0"/>
              <w:jc w:val="center"/>
              <w:rPr>
                <w:sz w:val="20"/>
                <w:szCs w:val="20"/>
              </w:rPr>
            </w:pPr>
            <w:r>
              <w:rPr>
                <w:sz w:val="20"/>
                <w:szCs w:val="20"/>
              </w:rPr>
              <w:t>120</w:t>
            </w: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7" w:type="pct"/>
          </w:tcPr>
          <w:p w:rsidR="004823F7" w:rsidRPr="00DD4355" w:rsidRDefault="004823F7" w:rsidP="00DD4355">
            <w:pPr>
              <w:spacing w:before="60" w:after="60" w:line="240" w:lineRule="auto"/>
              <w:ind w:left="0"/>
              <w:jc w:val="center"/>
              <w:rPr>
                <w:sz w:val="20"/>
                <w:szCs w:val="20"/>
              </w:rPr>
            </w:pPr>
          </w:p>
        </w:tc>
        <w:tc>
          <w:tcPr>
            <w:tcW w:w="628" w:type="pct"/>
          </w:tcPr>
          <w:p w:rsidR="004823F7" w:rsidRPr="00DD4355" w:rsidRDefault="004823F7" w:rsidP="00DD4355">
            <w:pPr>
              <w:spacing w:before="60" w:after="60" w:line="240" w:lineRule="auto"/>
              <w:ind w:left="0"/>
              <w:jc w:val="center"/>
              <w:rPr>
                <w:sz w:val="20"/>
                <w:szCs w:val="20"/>
              </w:rPr>
            </w:pPr>
          </w:p>
        </w:tc>
      </w:tr>
    </w:tbl>
    <w:p w:rsidR="004823F7" w:rsidRDefault="004823F7" w:rsidP="00154F64">
      <w:pPr>
        <w:pStyle w:val="Caption"/>
        <w:ind w:left="5673" w:firstLine="708"/>
        <w:rPr>
          <w:color w:val="000000"/>
        </w:rPr>
      </w:pPr>
      <w:r w:rsidRPr="005A5F55">
        <w:rPr>
          <w:color w:val="000000"/>
        </w:rPr>
        <w:t xml:space="preserve">Tabulka </w:t>
      </w:r>
      <w:r>
        <w:rPr>
          <w:color w:val="000000"/>
        </w:rPr>
        <w:t>3</w:t>
      </w:r>
      <w:r w:rsidRPr="005A5F55">
        <w:rPr>
          <w:color w:val="000000"/>
        </w:rPr>
        <w:t xml:space="preserve">: </w:t>
      </w:r>
      <w:r>
        <w:rPr>
          <w:color w:val="000000"/>
        </w:rPr>
        <w:t>Hodinová sazba</w:t>
      </w: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5"/>
        <w:gridCol w:w="1084"/>
        <w:gridCol w:w="1083"/>
        <w:gridCol w:w="1083"/>
        <w:gridCol w:w="1083"/>
        <w:gridCol w:w="1082"/>
      </w:tblGrid>
      <w:tr w:rsidR="004823F7" w:rsidRPr="00154F64" w:rsidTr="001D4F6D">
        <w:tc>
          <w:tcPr>
            <w:tcW w:w="1866" w:type="pct"/>
          </w:tcPr>
          <w:p w:rsidR="004823F7" w:rsidRPr="00DD4355" w:rsidRDefault="004823F7" w:rsidP="004E3737">
            <w:pPr>
              <w:spacing w:before="60" w:after="60" w:line="240" w:lineRule="auto"/>
              <w:ind w:left="0"/>
              <w:rPr>
                <w:b/>
                <w:sz w:val="18"/>
                <w:szCs w:val="18"/>
                <w:lang w:val="en-US"/>
              </w:rPr>
            </w:pPr>
            <w:r w:rsidRPr="00DD4355">
              <w:rPr>
                <w:b/>
                <w:sz w:val="18"/>
                <w:szCs w:val="18"/>
                <w:lang w:val="en-US"/>
              </w:rPr>
              <w:t>Činnost</w:t>
            </w:r>
          </w:p>
        </w:tc>
        <w:tc>
          <w:tcPr>
            <w:tcW w:w="627" w:type="pct"/>
          </w:tcPr>
          <w:p w:rsidR="004823F7" w:rsidRPr="00DD4355" w:rsidRDefault="004823F7" w:rsidP="004E3737">
            <w:pPr>
              <w:spacing w:before="60" w:after="60" w:line="240" w:lineRule="auto"/>
              <w:ind w:left="0"/>
              <w:rPr>
                <w:b/>
                <w:sz w:val="18"/>
                <w:szCs w:val="18"/>
                <w:lang w:val="en-US"/>
              </w:rPr>
            </w:pPr>
            <w:r w:rsidRPr="00DD4355">
              <w:rPr>
                <w:b/>
                <w:sz w:val="18"/>
                <w:szCs w:val="18"/>
                <w:lang w:val="en-US"/>
              </w:rPr>
              <w:t>Počet hodin</w:t>
            </w:r>
          </w:p>
        </w:tc>
        <w:tc>
          <w:tcPr>
            <w:tcW w:w="627" w:type="pct"/>
          </w:tcPr>
          <w:p w:rsidR="004823F7" w:rsidRPr="00DD4355" w:rsidRDefault="004823F7" w:rsidP="004E3737">
            <w:pPr>
              <w:spacing w:before="60" w:after="60" w:line="240" w:lineRule="auto"/>
              <w:ind w:left="0"/>
              <w:rPr>
                <w:b/>
                <w:sz w:val="18"/>
                <w:szCs w:val="18"/>
                <w:lang w:val="en-US"/>
              </w:rPr>
            </w:pPr>
            <w:r w:rsidRPr="00DD4355">
              <w:rPr>
                <w:b/>
                <w:sz w:val="18"/>
                <w:szCs w:val="18"/>
                <w:lang w:val="en-US"/>
              </w:rPr>
              <w:t>Hodinová sazba bez DPH</w:t>
            </w:r>
          </w:p>
        </w:tc>
        <w:tc>
          <w:tcPr>
            <w:tcW w:w="627" w:type="pct"/>
          </w:tcPr>
          <w:p w:rsidR="004823F7" w:rsidRPr="00DD4355" w:rsidRDefault="004823F7" w:rsidP="004E3737">
            <w:pPr>
              <w:spacing w:before="60" w:after="60" w:line="240" w:lineRule="auto"/>
              <w:ind w:left="0"/>
              <w:rPr>
                <w:b/>
                <w:sz w:val="18"/>
                <w:szCs w:val="18"/>
                <w:lang w:val="en-US"/>
              </w:rPr>
            </w:pPr>
            <w:r w:rsidRPr="00DD4355">
              <w:rPr>
                <w:b/>
                <w:sz w:val="18"/>
                <w:szCs w:val="18"/>
                <w:lang w:val="en-US"/>
              </w:rPr>
              <w:t>Hodinová sazba s</w:t>
            </w:r>
            <w:r>
              <w:rPr>
                <w:b/>
                <w:sz w:val="18"/>
                <w:szCs w:val="18"/>
                <w:lang w:val="en-US"/>
              </w:rPr>
              <w:t> </w:t>
            </w:r>
            <w:r w:rsidRPr="00DD4355">
              <w:rPr>
                <w:b/>
                <w:sz w:val="18"/>
                <w:szCs w:val="18"/>
                <w:lang w:val="en-US"/>
              </w:rPr>
              <w:t xml:space="preserve">DPH </w:t>
            </w:r>
          </w:p>
        </w:tc>
        <w:tc>
          <w:tcPr>
            <w:tcW w:w="627" w:type="pct"/>
          </w:tcPr>
          <w:p w:rsidR="004823F7" w:rsidRPr="00DD4355" w:rsidRDefault="004823F7" w:rsidP="004E3737">
            <w:pPr>
              <w:spacing w:before="60" w:after="60" w:line="240" w:lineRule="auto"/>
              <w:ind w:left="0"/>
              <w:rPr>
                <w:b/>
                <w:sz w:val="18"/>
                <w:szCs w:val="18"/>
                <w:lang w:val="en-US"/>
              </w:rPr>
            </w:pPr>
            <w:r w:rsidRPr="00DD4355">
              <w:rPr>
                <w:b/>
                <w:sz w:val="18"/>
                <w:szCs w:val="18"/>
                <w:lang w:val="en-US"/>
              </w:rPr>
              <w:t>DPH v Kč</w:t>
            </w:r>
          </w:p>
        </w:tc>
        <w:tc>
          <w:tcPr>
            <w:tcW w:w="626" w:type="pct"/>
          </w:tcPr>
          <w:p w:rsidR="004823F7" w:rsidRPr="00DD4355" w:rsidRDefault="004823F7" w:rsidP="004E3737">
            <w:pPr>
              <w:spacing w:before="60" w:after="60" w:line="240" w:lineRule="auto"/>
              <w:ind w:left="0"/>
              <w:rPr>
                <w:b/>
                <w:sz w:val="18"/>
                <w:szCs w:val="18"/>
                <w:lang w:val="en-US"/>
              </w:rPr>
            </w:pPr>
            <w:r w:rsidRPr="00DD4355">
              <w:rPr>
                <w:b/>
                <w:sz w:val="18"/>
                <w:szCs w:val="18"/>
                <w:lang w:val="en-US"/>
              </w:rPr>
              <w:t>DPH %</w:t>
            </w:r>
          </w:p>
        </w:tc>
      </w:tr>
      <w:tr w:rsidR="004823F7" w:rsidRPr="00161A35" w:rsidTr="001D4F6D">
        <w:tc>
          <w:tcPr>
            <w:tcW w:w="5000" w:type="pct"/>
            <w:gridSpan w:val="6"/>
          </w:tcPr>
          <w:p w:rsidR="004823F7" w:rsidRPr="00161A35" w:rsidRDefault="004823F7" w:rsidP="001D4F6D">
            <w:pPr>
              <w:spacing w:line="240" w:lineRule="auto"/>
              <w:ind w:left="0"/>
              <w:jc w:val="left"/>
              <w:rPr>
                <w:sz w:val="20"/>
                <w:szCs w:val="20"/>
              </w:rPr>
            </w:pPr>
            <w:r w:rsidRPr="00161A35">
              <w:rPr>
                <w:b/>
                <w:sz w:val="20"/>
                <w:szCs w:val="20"/>
              </w:rPr>
              <w:t>Služby „Projektového řízení (junior): OpenData“</w:t>
            </w: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Analýza rezortní datové základny dle Informační koncepce na referenční, autoritativní , vlastní údaje, dále na kmenová, transakční, číselníková, citlivá, osobní, metadata apod. za účelem vypracování téma rezortních otevřených dat podle Národního katalogu otevřených dat.</w:t>
            </w:r>
          </w:p>
        </w:tc>
        <w:tc>
          <w:tcPr>
            <w:tcW w:w="627" w:type="pct"/>
            <w:vAlign w:val="center"/>
          </w:tcPr>
          <w:p w:rsidR="004823F7" w:rsidRPr="009E126B" w:rsidRDefault="004823F7" w:rsidP="004C3653">
            <w:pPr>
              <w:spacing w:line="240" w:lineRule="auto"/>
              <w:ind w:left="0"/>
              <w:jc w:val="center"/>
              <w:rPr>
                <w:sz w:val="20"/>
                <w:szCs w:val="20"/>
              </w:rPr>
            </w:pPr>
            <w:r w:rsidRPr="009E126B">
              <w:rPr>
                <w:sz w:val="20"/>
                <w:szCs w:val="20"/>
              </w:rPr>
              <w:t>2</w:t>
            </w:r>
            <w:r>
              <w:rPr>
                <w:sz w:val="20"/>
                <w:szCs w:val="20"/>
              </w:rPr>
              <w:t>3</w:t>
            </w:r>
            <w:r w:rsidRPr="009E126B">
              <w:rPr>
                <w:sz w:val="20"/>
                <w:szCs w:val="20"/>
              </w:rPr>
              <w:t>0</w:t>
            </w: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6" w:type="pct"/>
          </w:tcPr>
          <w:p w:rsidR="004823F7" w:rsidRPr="00DD4355" w:rsidRDefault="004823F7" w:rsidP="004E3737">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Vypracování rezortních tématických okruhů otevřených dat, stanovení jejich periodicity, podpora při sestavení týmu redaktorů (věcných garantů témat otevřených dat).</w:t>
            </w:r>
          </w:p>
        </w:tc>
        <w:tc>
          <w:tcPr>
            <w:tcW w:w="627" w:type="pct"/>
            <w:vAlign w:val="center"/>
          </w:tcPr>
          <w:p w:rsidR="004823F7" w:rsidRPr="009E126B" w:rsidRDefault="004823F7" w:rsidP="004C3653">
            <w:pPr>
              <w:spacing w:line="240" w:lineRule="auto"/>
              <w:ind w:left="0"/>
              <w:jc w:val="center"/>
              <w:rPr>
                <w:sz w:val="20"/>
                <w:szCs w:val="20"/>
              </w:rPr>
            </w:pPr>
            <w:r w:rsidRPr="009E126B">
              <w:rPr>
                <w:sz w:val="20"/>
                <w:szCs w:val="20"/>
              </w:rPr>
              <w:t>2</w:t>
            </w:r>
            <w:r>
              <w:rPr>
                <w:sz w:val="20"/>
                <w:szCs w:val="20"/>
              </w:rPr>
              <w:t>3</w:t>
            </w:r>
            <w:r w:rsidRPr="009E126B">
              <w:rPr>
                <w:sz w:val="20"/>
                <w:szCs w:val="20"/>
              </w:rPr>
              <w:t>0</w:t>
            </w: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6" w:type="pct"/>
          </w:tcPr>
          <w:p w:rsidR="004823F7" w:rsidRPr="00DD4355" w:rsidRDefault="004823F7" w:rsidP="004E3737">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Zpracování popisu technického procesu uveřejňování otevřených dat (vypracování metodiky uveřejňování otevřených dat v rezortu) s vazbou na stávající způsob uveřejňování (včetně návrhů na zlepšení).</w:t>
            </w:r>
          </w:p>
        </w:tc>
        <w:tc>
          <w:tcPr>
            <w:tcW w:w="627" w:type="pct"/>
            <w:vAlign w:val="center"/>
          </w:tcPr>
          <w:p w:rsidR="004823F7" w:rsidRPr="009E126B" w:rsidRDefault="004823F7" w:rsidP="004C3653">
            <w:pPr>
              <w:spacing w:line="240" w:lineRule="auto"/>
              <w:ind w:left="0"/>
              <w:jc w:val="center"/>
              <w:rPr>
                <w:sz w:val="20"/>
                <w:szCs w:val="20"/>
              </w:rPr>
            </w:pPr>
            <w:r w:rsidRPr="009E126B">
              <w:rPr>
                <w:sz w:val="20"/>
                <w:szCs w:val="20"/>
              </w:rPr>
              <w:t>1</w:t>
            </w:r>
            <w:r>
              <w:rPr>
                <w:sz w:val="20"/>
                <w:szCs w:val="20"/>
              </w:rPr>
              <w:t>2</w:t>
            </w:r>
            <w:r w:rsidRPr="009E126B">
              <w:rPr>
                <w:sz w:val="20"/>
                <w:szCs w:val="20"/>
              </w:rPr>
              <w:t>0</w:t>
            </w: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6" w:type="pct"/>
          </w:tcPr>
          <w:p w:rsidR="004823F7" w:rsidRPr="00DD4355" w:rsidRDefault="004823F7" w:rsidP="004E3737">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Řízení a dohled nad prací redaktorů týmu (věcných garantů témat otevřených dat), spolupráce s publikačními pracovníky (web mastery) s cílem publikovat a pravidelně aktualizovat otevřená data na portále MŽP a portálech RO.</w:t>
            </w:r>
          </w:p>
        </w:tc>
        <w:tc>
          <w:tcPr>
            <w:tcW w:w="627" w:type="pct"/>
            <w:vAlign w:val="center"/>
          </w:tcPr>
          <w:p w:rsidR="004823F7" w:rsidRPr="009E126B" w:rsidRDefault="004823F7" w:rsidP="004C3653">
            <w:pPr>
              <w:spacing w:line="240" w:lineRule="auto"/>
              <w:ind w:left="0"/>
              <w:jc w:val="center"/>
              <w:rPr>
                <w:sz w:val="20"/>
                <w:szCs w:val="20"/>
              </w:rPr>
            </w:pPr>
            <w:r w:rsidRPr="009E126B">
              <w:rPr>
                <w:sz w:val="20"/>
                <w:szCs w:val="20"/>
              </w:rPr>
              <w:t>600</w:t>
            </w: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6" w:type="pct"/>
          </w:tcPr>
          <w:p w:rsidR="004823F7" w:rsidRPr="00DD4355" w:rsidRDefault="004823F7" w:rsidP="004E3737">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Zpracování připomínek k strategickým materiálům v oblasti eGovernment za rezort životního prostředí s vazbou na architekturu IS. rezortu.</w:t>
            </w:r>
          </w:p>
        </w:tc>
        <w:tc>
          <w:tcPr>
            <w:tcW w:w="627" w:type="pct"/>
            <w:vAlign w:val="center"/>
          </w:tcPr>
          <w:p w:rsidR="004823F7" w:rsidRPr="009E126B" w:rsidRDefault="004823F7" w:rsidP="004C3653">
            <w:pPr>
              <w:spacing w:line="240" w:lineRule="auto"/>
              <w:ind w:left="0"/>
              <w:jc w:val="center"/>
              <w:rPr>
                <w:sz w:val="20"/>
                <w:szCs w:val="20"/>
              </w:rPr>
            </w:pPr>
            <w:r w:rsidRPr="009E126B">
              <w:rPr>
                <w:sz w:val="20"/>
                <w:szCs w:val="20"/>
              </w:rPr>
              <w:t>300</w:t>
            </w: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6" w:type="pct"/>
          </w:tcPr>
          <w:p w:rsidR="004823F7" w:rsidRPr="00DD4355" w:rsidRDefault="004823F7" w:rsidP="004E3737">
            <w:pPr>
              <w:spacing w:before="60" w:after="60" w:line="240" w:lineRule="auto"/>
              <w:ind w:left="0"/>
              <w:jc w:val="center"/>
              <w:rPr>
                <w:sz w:val="20"/>
                <w:szCs w:val="20"/>
              </w:rPr>
            </w:pPr>
          </w:p>
        </w:tc>
      </w:tr>
      <w:tr w:rsidR="004823F7" w:rsidRPr="00154F64" w:rsidTr="004C3653">
        <w:tc>
          <w:tcPr>
            <w:tcW w:w="1866" w:type="pct"/>
          </w:tcPr>
          <w:p w:rsidR="004823F7" w:rsidRPr="00161A35" w:rsidRDefault="004823F7" w:rsidP="001D4F6D">
            <w:pPr>
              <w:spacing w:line="240" w:lineRule="auto"/>
              <w:ind w:left="0"/>
              <w:rPr>
                <w:sz w:val="16"/>
                <w:szCs w:val="16"/>
              </w:rPr>
            </w:pPr>
            <w:r w:rsidRPr="00161A35">
              <w:rPr>
                <w:sz w:val="16"/>
                <w:szCs w:val="16"/>
              </w:rPr>
              <w:t>Průběžné zpracovávání zápisů z porad, přehledů o zveřejňovaných otevřených datech a spolupráce s projektovou kanceláří, rezortním architektem a pracovníky odboru informatiky.</w:t>
            </w:r>
          </w:p>
        </w:tc>
        <w:tc>
          <w:tcPr>
            <w:tcW w:w="627" w:type="pct"/>
            <w:vAlign w:val="center"/>
          </w:tcPr>
          <w:p w:rsidR="004823F7" w:rsidRPr="009E126B" w:rsidRDefault="004823F7" w:rsidP="004C3653">
            <w:pPr>
              <w:spacing w:line="240" w:lineRule="auto"/>
              <w:ind w:left="0"/>
              <w:jc w:val="center"/>
              <w:rPr>
                <w:sz w:val="20"/>
                <w:szCs w:val="20"/>
              </w:rPr>
            </w:pPr>
            <w:r>
              <w:rPr>
                <w:sz w:val="20"/>
                <w:szCs w:val="20"/>
              </w:rPr>
              <w:t>120</w:t>
            </w: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7" w:type="pct"/>
          </w:tcPr>
          <w:p w:rsidR="004823F7" w:rsidRPr="00DD4355" w:rsidRDefault="004823F7" w:rsidP="004E3737">
            <w:pPr>
              <w:spacing w:before="60" w:after="60" w:line="240" w:lineRule="auto"/>
              <w:ind w:left="0"/>
              <w:jc w:val="center"/>
              <w:rPr>
                <w:sz w:val="20"/>
                <w:szCs w:val="20"/>
              </w:rPr>
            </w:pPr>
          </w:p>
        </w:tc>
        <w:tc>
          <w:tcPr>
            <w:tcW w:w="626" w:type="pct"/>
          </w:tcPr>
          <w:p w:rsidR="004823F7" w:rsidRPr="00DD4355" w:rsidRDefault="004823F7" w:rsidP="004E3737">
            <w:pPr>
              <w:spacing w:before="60" w:after="60" w:line="240" w:lineRule="auto"/>
              <w:ind w:left="0"/>
              <w:jc w:val="center"/>
              <w:rPr>
                <w:sz w:val="20"/>
                <w:szCs w:val="20"/>
              </w:rPr>
            </w:pPr>
          </w:p>
        </w:tc>
      </w:tr>
    </w:tbl>
    <w:p w:rsidR="004823F7" w:rsidRDefault="004823F7" w:rsidP="001D4F6D">
      <w:pPr>
        <w:pStyle w:val="Caption"/>
        <w:ind w:left="5673" w:firstLine="708"/>
        <w:rPr>
          <w:color w:val="000000"/>
        </w:rPr>
      </w:pPr>
      <w:r w:rsidRPr="005A5F55">
        <w:rPr>
          <w:color w:val="000000"/>
        </w:rPr>
        <w:t xml:space="preserve">Tabulka </w:t>
      </w:r>
      <w:r>
        <w:rPr>
          <w:color w:val="000000"/>
        </w:rPr>
        <w:t>4</w:t>
      </w:r>
      <w:r w:rsidRPr="005A5F55">
        <w:rPr>
          <w:color w:val="000000"/>
        </w:rPr>
        <w:t xml:space="preserve">: </w:t>
      </w:r>
      <w:r>
        <w:rPr>
          <w:color w:val="000000"/>
        </w:rPr>
        <w:t>Hodinová sazba</w:t>
      </w:r>
    </w:p>
    <w:p w:rsidR="004823F7" w:rsidRPr="001D4F6D" w:rsidRDefault="004823F7" w:rsidP="001D4F6D"/>
    <w:p w:rsidR="004823F7" w:rsidRPr="002E79A2" w:rsidRDefault="004823F7" w:rsidP="00E872D4">
      <w:pPr>
        <w:pStyle w:val="ListParagraph"/>
        <w:numPr>
          <w:ilvl w:val="1"/>
          <w:numId w:val="29"/>
        </w:numPr>
        <w:ind w:left="567" w:hanging="567"/>
      </w:pPr>
      <w:r w:rsidRPr="002E79A2">
        <w:t>Odměna uvedená v odst. 6.1 tohoto článku je závazná, konečná a nepřekročitelná po celou dobu trvání Smlouvy zahrnující veškeré činnosti včetně všech souvisejících výkonů a poplatků a veškerých dalších případných nákladů, byť nebyly v nabídce výslovně uvedeny, a jsou v nich zahrnuty veškeré náklady Dodavatele na poskytování Služeb, tedy veškeré práce, dodávky, služby, poplatky, výkony a další činnosti nutné pro řádné splnění závazku Dodavatele dle čl. 2 odst. 2.1 Smlouvy.</w:t>
      </w:r>
    </w:p>
    <w:p w:rsidR="004823F7" w:rsidRPr="002E79A2" w:rsidRDefault="004823F7" w:rsidP="00E872D4">
      <w:pPr>
        <w:pStyle w:val="ListParagraph"/>
        <w:numPr>
          <w:ilvl w:val="1"/>
          <w:numId w:val="29"/>
        </w:numPr>
        <w:ind w:left="567" w:hanging="567"/>
      </w:pPr>
      <w:r w:rsidRPr="002E79A2">
        <w:t xml:space="preserve">Dodavateli bude uhrazena odměna pouze za skutečně poskytnuté a řádně akceptované Služby až do maximální výše odměny uvedené v odst. 6.1 tohoto článku. Adekvátní část Odměny bude uhrazena na základě </w:t>
      </w:r>
      <w:r>
        <w:t>Dodavatelem</w:t>
      </w:r>
      <w:r w:rsidRPr="002E79A2">
        <w:t xml:space="preserve"> průběžně zaslaných daňových a účetních dokladů vždy za ukončený příslušný kalendářní měsíc, a to na základě akceptace Dodavatelem vykázaných Služeb dle potvrzení </w:t>
      </w:r>
      <w:r>
        <w:t>výkazu práce</w:t>
      </w:r>
      <w:r w:rsidRPr="002E79A2">
        <w:t xml:space="preserve"> </w:t>
      </w:r>
      <w:r w:rsidRPr="00154F64">
        <w:t>(článek 2 odst. 2.4 Smlouvy</w:t>
      </w:r>
      <w:r w:rsidRPr="002E79A2">
        <w:t>). Faktura bude splatná do 30 dnů ode dne doručení faktury Objednateli. Objednatel neposkytuje zálohy. Platby proběhnou výhradně v Kč (CZK), rovněž veškeré cenové údaje na fakturách budou uváděny v této měně.</w:t>
      </w:r>
    </w:p>
    <w:p w:rsidR="004823F7" w:rsidRPr="002E79A2" w:rsidRDefault="004823F7" w:rsidP="00E872D4">
      <w:pPr>
        <w:pStyle w:val="ListParagraph"/>
        <w:numPr>
          <w:ilvl w:val="1"/>
          <w:numId w:val="29"/>
        </w:numPr>
        <w:ind w:left="567" w:hanging="567"/>
      </w:pPr>
      <w:r w:rsidRPr="002E79A2">
        <w:t>Faktura vystavená Dodavatelem musí obsahovat veškeré stanovené obsahové i formální náležitosti faktury v souladu s příslušnými právními předpisy</w:t>
      </w:r>
      <w:r>
        <w:t xml:space="preserve">. </w:t>
      </w:r>
      <w:r w:rsidRPr="002E79A2">
        <w:t>Faktura dále musí obsahovat označení faktury a její číslo, identifikační údaje Smluvních stran, bankovní spojení, předmět Smlouvy</w:t>
      </w:r>
      <w:r>
        <w:t xml:space="preserve">, fakturovanou částku vč. DPH </w:t>
      </w:r>
      <w:r w:rsidRPr="002E79A2">
        <w:t>spolu s akceptovaným soupisem skutečně poskytnutých Služeb.</w:t>
      </w:r>
    </w:p>
    <w:p w:rsidR="004823F7" w:rsidRPr="002E79A2" w:rsidRDefault="004823F7" w:rsidP="00E872D4">
      <w:pPr>
        <w:pStyle w:val="ListParagraph"/>
        <w:numPr>
          <w:ilvl w:val="1"/>
          <w:numId w:val="29"/>
        </w:numPr>
        <w:ind w:left="567" w:hanging="567"/>
      </w:pPr>
      <w:r w:rsidRPr="002E79A2">
        <w:t>Faktura bude zaslána na adresu Objednatele</w:t>
      </w:r>
      <w:r>
        <w:t>.</w:t>
      </w:r>
    </w:p>
    <w:p w:rsidR="004823F7" w:rsidRPr="002E79A2" w:rsidRDefault="004823F7" w:rsidP="00E872D4">
      <w:pPr>
        <w:pStyle w:val="ListParagraph"/>
        <w:numPr>
          <w:ilvl w:val="1"/>
          <w:numId w:val="29"/>
        </w:numPr>
        <w:ind w:left="567" w:hanging="567"/>
      </w:pPr>
      <w:r w:rsidRPr="002E79A2">
        <w:t>V případě, že faktura nebude mít odpovídající náležitosti, je Objednatel oprávněn ji vrátit ve lhůtě splatnosti zpět Dodavateli k doplnění, aniž se tak dostane do prodlení se splatností. Lhůta splatnosti počíná běžet znovu od opětovného zaslání náležitě doplněné či opravené faktury Dodavatelem Objednateli.</w:t>
      </w:r>
    </w:p>
    <w:p w:rsidR="004823F7" w:rsidRPr="002E79A2" w:rsidRDefault="004823F7" w:rsidP="00E872D4">
      <w:pPr>
        <w:pStyle w:val="Heading1"/>
        <w:numPr>
          <w:ilvl w:val="0"/>
          <w:numId w:val="29"/>
        </w:numPr>
        <w:ind w:left="357" w:hanging="357"/>
      </w:pPr>
      <w:r w:rsidRPr="002E79A2">
        <w:t>ZÁRUKY, SMLUVNÍ POKUTY</w:t>
      </w:r>
    </w:p>
    <w:p w:rsidR="004823F7" w:rsidRPr="002E79A2" w:rsidRDefault="004823F7" w:rsidP="00E872D4">
      <w:pPr>
        <w:pStyle w:val="ListParagraph"/>
        <w:numPr>
          <w:ilvl w:val="1"/>
          <w:numId w:val="29"/>
        </w:numPr>
        <w:ind w:left="567" w:hanging="567"/>
      </w:pPr>
      <w:r w:rsidRPr="002E79A2">
        <w:t xml:space="preserve">Případné vady a škody musí Objednatel uplatnit u </w:t>
      </w:r>
      <w:r>
        <w:t>Dodavatele</w:t>
      </w:r>
      <w:r w:rsidRPr="002E79A2">
        <w:t xml:space="preserve"> bez zbytečného odkladu poté, co se o nich dozví.</w:t>
      </w:r>
    </w:p>
    <w:p w:rsidR="004823F7" w:rsidRPr="002E79A2" w:rsidRDefault="004823F7" w:rsidP="00E872D4">
      <w:pPr>
        <w:pStyle w:val="ListParagraph"/>
        <w:numPr>
          <w:ilvl w:val="1"/>
          <w:numId w:val="29"/>
        </w:numPr>
        <w:ind w:left="567" w:hanging="567"/>
      </w:pPr>
      <w:r w:rsidRPr="002E79A2">
        <w:t>Dodavatel neodpovídá za vady a škody, které byly způsobeny použitím podkladů převzatých od Objednatele, u kterých Dodavatel ani při vynaložení veškeré odborné péče nemohl zjistit jejich nevhodnost, případně na n</w:t>
      </w:r>
      <w:r>
        <w:t>ě</w:t>
      </w:r>
      <w:r w:rsidRPr="002E79A2">
        <w:t xml:space="preserve"> písemně upozornil Objednatele, ale ten na jejich použití trval.</w:t>
      </w:r>
    </w:p>
    <w:p w:rsidR="004823F7" w:rsidRPr="002E79A2" w:rsidRDefault="004823F7" w:rsidP="00E872D4">
      <w:pPr>
        <w:pStyle w:val="ListParagraph"/>
        <w:numPr>
          <w:ilvl w:val="1"/>
          <w:numId w:val="29"/>
        </w:numPr>
        <w:ind w:left="567" w:hanging="567"/>
      </w:pPr>
      <w:r w:rsidRPr="002E79A2">
        <w:t>V případě, že řídící orgán programu IROP, hodnotitel, či jiná osoba v obdobném postavení zjistí na Objednatelem podané Žádosti o poskytnutí dotace vady, které jsou v částech či přílohách zpracovaných Dodavatelem na základě Objednávky, a tedy i jím částečně či zcela zapříčiněné, je Dodavatel povinen spolupracovat na jejich odstranění v co nejkratším termínu, a to takovém, že opravené či upravené materiály budou předány Objednateli nejpozději 48 hodin před uplynutím lhůty pro opravy sdělené řídícím orgánem IROP, popř. jiným relevantním subjektem, a to bez nároku na odměnu Dodavateli. Termín pro opravy sdělí Objednatel Dodavateli v okamžiku uplatnění záruky neprodleně.</w:t>
      </w:r>
    </w:p>
    <w:p w:rsidR="004823F7" w:rsidRPr="000E7346" w:rsidRDefault="004823F7" w:rsidP="00E872D4">
      <w:pPr>
        <w:pStyle w:val="ListParagraph"/>
        <w:numPr>
          <w:ilvl w:val="1"/>
          <w:numId w:val="29"/>
        </w:numPr>
        <w:ind w:left="567" w:hanging="567"/>
      </w:pPr>
      <w:r w:rsidRPr="002E79A2">
        <w:t xml:space="preserve">V případě prodlení s plněním ze strany Dodavatele, tj. v případě nedodržení termínů plnění dle jednotlivých pokynů, souvisejících právních a prováděcích předpisů, a dalších relevantních pravidel, je Dodavatel povinen zaplatit Objednateli smluvní pokutu </w:t>
      </w:r>
      <w:r w:rsidRPr="000E7346">
        <w:t>ve výši 2.000,- Kč za každý, byť započatý den prodlení.</w:t>
      </w:r>
    </w:p>
    <w:p w:rsidR="004823F7" w:rsidRPr="000E7346" w:rsidRDefault="004823F7" w:rsidP="00E872D4">
      <w:pPr>
        <w:pStyle w:val="ListParagraph"/>
        <w:numPr>
          <w:ilvl w:val="1"/>
          <w:numId w:val="29"/>
        </w:numPr>
        <w:ind w:left="567" w:hanging="567"/>
      </w:pPr>
      <w:r w:rsidRPr="000E7346">
        <w:t>V případě, že Dodavatel poruší povinnosti stanovené Smlouvou, zejména dle čl. 4 Smlouvy s výjimkou odst. 4.6 až 4.8 uvedeného článku, je Dodavatel povinen zaplatit Objednateli smluvní pokutu ve výši 5.000,- Kč za každý takový případ.</w:t>
      </w:r>
    </w:p>
    <w:p w:rsidR="004823F7" w:rsidRPr="000E7346" w:rsidRDefault="004823F7" w:rsidP="00E872D4">
      <w:pPr>
        <w:pStyle w:val="ListParagraph"/>
        <w:numPr>
          <w:ilvl w:val="1"/>
          <w:numId w:val="29"/>
        </w:numPr>
        <w:ind w:left="567" w:hanging="567"/>
      </w:pPr>
      <w:r w:rsidRPr="000E7346">
        <w:t>V případě, že Dodavatel poruší povinnosti stanovené v čl. 4 odst. 4.6 až 4.8 Smlouvy, je Dodavatel povinen zaplatit Objednateli smluvní pokutu ve výši 10.000,- Kč za každý takový případ.</w:t>
      </w:r>
    </w:p>
    <w:p w:rsidR="004823F7" w:rsidRPr="002E79A2" w:rsidRDefault="004823F7" w:rsidP="00E872D4">
      <w:pPr>
        <w:pStyle w:val="ListParagraph"/>
        <w:numPr>
          <w:ilvl w:val="1"/>
          <w:numId w:val="29"/>
        </w:numPr>
        <w:ind w:left="567" w:hanging="567"/>
      </w:pPr>
      <w:r w:rsidRPr="002E79A2">
        <w:t xml:space="preserve">Smluvní pokuty jsou splatné do </w:t>
      </w:r>
      <w:r>
        <w:t>30</w:t>
      </w:r>
      <w:r w:rsidRPr="002E79A2">
        <w:t xml:space="preserve"> dnů ode dne doručení výzvy k jejich zaplacení Dodavateli. Zaplacením smluvní pokuty dle Smlouvy není dotčena povinnost Dodavatele nahradit škodu vzniklou Objednateli porušením smluvní povinnosti, které se smluvní pokuta týká. Objednatel je oprávněn požadovat náhradu škody v plné výši bez ohledu na sjednanou smluvní pokutu.</w:t>
      </w:r>
    </w:p>
    <w:p w:rsidR="004823F7" w:rsidRPr="002E79A2" w:rsidRDefault="004823F7" w:rsidP="00E872D4">
      <w:pPr>
        <w:pStyle w:val="ListParagraph"/>
        <w:numPr>
          <w:ilvl w:val="1"/>
          <w:numId w:val="29"/>
        </w:numPr>
        <w:ind w:left="567" w:hanging="567"/>
      </w:pPr>
      <w:r w:rsidRPr="002E79A2">
        <w:t>Pro případ prodlení Objednatele s úhradou faktury má Dodavatel nárok na úhradu úroku z prodlení se zaplacením dlužné částky ve výši stanovené dle příslušných platných právních předpisů.</w:t>
      </w:r>
    </w:p>
    <w:p w:rsidR="004823F7" w:rsidRPr="002E79A2" w:rsidRDefault="004823F7" w:rsidP="00E872D4">
      <w:pPr>
        <w:pStyle w:val="Heading1"/>
        <w:numPr>
          <w:ilvl w:val="0"/>
          <w:numId w:val="29"/>
        </w:numPr>
        <w:ind w:left="357" w:hanging="357"/>
      </w:pPr>
      <w:r w:rsidRPr="002E79A2">
        <w:t>DOBA TRVÁNÍ SMLOUVY A ODSTOUPENÍ OD SMLOUVY</w:t>
      </w:r>
    </w:p>
    <w:p w:rsidR="004823F7" w:rsidRPr="002E79A2" w:rsidRDefault="004823F7" w:rsidP="00E872D4">
      <w:pPr>
        <w:pStyle w:val="ListParagraph"/>
        <w:numPr>
          <w:ilvl w:val="1"/>
          <w:numId w:val="29"/>
        </w:numPr>
        <w:ind w:left="567" w:hanging="567"/>
      </w:pPr>
      <w:r w:rsidRPr="002E79A2">
        <w:t>Smlouva nabývá platnosti a účinnosti dnem jejího podpisu oběma Smluvními stranami a je uzavřena na dobu určitou, a to na 2</w:t>
      </w:r>
      <w:r>
        <w:t>4</w:t>
      </w:r>
      <w:r w:rsidRPr="002E79A2">
        <w:t xml:space="preserve"> měsíců </w:t>
      </w:r>
      <w:r>
        <w:t xml:space="preserve"> v termínu </w:t>
      </w:r>
      <w:r w:rsidRPr="00BA2A7C">
        <w:rPr>
          <w:highlight w:val="green"/>
        </w:rPr>
        <w:t xml:space="preserve">od </w:t>
      </w:r>
      <w:r>
        <w:rPr>
          <w:highlight w:val="green"/>
        </w:rPr>
        <w:t>dd</w:t>
      </w:r>
      <w:r w:rsidRPr="00BA2A7C">
        <w:rPr>
          <w:highlight w:val="green"/>
        </w:rPr>
        <w:t>.</w:t>
      </w:r>
      <w:r>
        <w:rPr>
          <w:highlight w:val="green"/>
        </w:rPr>
        <w:t>mm</w:t>
      </w:r>
      <w:r w:rsidRPr="00BA2A7C">
        <w:rPr>
          <w:highlight w:val="green"/>
        </w:rPr>
        <w:t xml:space="preserve">.2018 do </w:t>
      </w:r>
      <w:r>
        <w:rPr>
          <w:highlight w:val="green"/>
        </w:rPr>
        <w:t>dd</w:t>
      </w:r>
      <w:r w:rsidRPr="00BA2A7C">
        <w:rPr>
          <w:highlight w:val="green"/>
        </w:rPr>
        <w:t>.</w:t>
      </w:r>
      <w:r>
        <w:rPr>
          <w:highlight w:val="green"/>
        </w:rPr>
        <w:t>mm</w:t>
      </w:r>
      <w:r w:rsidRPr="00BA2A7C">
        <w:rPr>
          <w:highlight w:val="green"/>
        </w:rPr>
        <w:t>.2020.</w:t>
      </w:r>
    </w:p>
    <w:p w:rsidR="004823F7" w:rsidRPr="002E79A2" w:rsidRDefault="004823F7" w:rsidP="00E872D4">
      <w:pPr>
        <w:pStyle w:val="ListParagraph"/>
        <w:numPr>
          <w:ilvl w:val="1"/>
          <w:numId w:val="29"/>
        </w:numPr>
        <w:ind w:left="567" w:hanging="567"/>
      </w:pPr>
      <w:r w:rsidRPr="002E79A2">
        <w:t>Před uplynutím této doby trvání Smlouvy lze Smlouvu ukončit:</w:t>
      </w:r>
    </w:p>
    <w:p w:rsidR="004823F7" w:rsidRPr="002E79A2" w:rsidRDefault="004823F7" w:rsidP="00E872D4">
      <w:pPr>
        <w:pStyle w:val="ListParagraph"/>
        <w:numPr>
          <w:ilvl w:val="0"/>
          <w:numId w:val="11"/>
        </w:numPr>
        <w:ind w:left="993" w:hanging="351"/>
      </w:pPr>
      <w:r w:rsidRPr="002E79A2">
        <w:t>na základě vzájemné písemné dohody Smluvních stran, nebo</w:t>
      </w:r>
    </w:p>
    <w:p w:rsidR="004823F7" w:rsidRPr="002E79A2" w:rsidRDefault="004823F7" w:rsidP="00E872D4">
      <w:pPr>
        <w:pStyle w:val="ListParagraph"/>
        <w:numPr>
          <w:ilvl w:val="0"/>
          <w:numId w:val="11"/>
        </w:numPr>
        <w:ind w:left="993" w:hanging="351"/>
      </w:pPr>
      <w:r w:rsidRPr="002E79A2">
        <w:t>písemnou výpovědí Smlouvy i bez uvedení důvodu s výpovědní lhůtou v délce 14 dnů, která počne dnem následujícím po dni doručení výpovědi druhé Smluvní straně, nebo</w:t>
      </w:r>
    </w:p>
    <w:p w:rsidR="004823F7" w:rsidRPr="002E79A2" w:rsidRDefault="004823F7" w:rsidP="00E872D4">
      <w:pPr>
        <w:pStyle w:val="ListParagraph"/>
        <w:numPr>
          <w:ilvl w:val="0"/>
          <w:numId w:val="11"/>
        </w:numPr>
        <w:ind w:left="993" w:hanging="351"/>
      </w:pPr>
      <w:r w:rsidRPr="002E79A2">
        <w:t xml:space="preserve">odstoupením od Smlouvy učiněným písemně a doručeným druhé Smluvní straně v případech uvedených v odst. </w:t>
      </w:r>
      <w:r w:rsidRPr="00E872D4">
        <w:t>8.3 až 8.5</w:t>
      </w:r>
      <w:r w:rsidRPr="002E79A2">
        <w:t xml:space="preserve"> tohoto článku.</w:t>
      </w:r>
    </w:p>
    <w:p w:rsidR="004823F7" w:rsidRPr="002E79A2" w:rsidRDefault="004823F7" w:rsidP="00E872D4">
      <w:pPr>
        <w:pStyle w:val="ListParagraph"/>
        <w:numPr>
          <w:ilvl w:val="1"/>
          <w:numId w:val="29"/>
        </w:numPr>
        <w:ind w:left="567" w:hanging="567"/>
      </w:pPr>
      <w:r w:rsidRPr="002E79A2">
        <w:t>Dodavatel je oprávněn od Smlouvy odstoupit v souladu s Občanským zákoníkem pro podstatné porušení Smlouvy ze strany Objednatele, kterým se rozumí prodlení s úhradou faktury po dobu delší než 30 kalendářních dnů, avšak teprve poté, kdy Dodavatel na neplnění závazků Objednatele písemně upozornil a poskytl mu odpovídající lhůtu k nápravě.</w:t>
      </w:r>
    </w:p>
    <w:p w:rsidR="004823F7" w:rsidRPr="002E79A2" w:rsidRDefault="004823F7" w:rsidP="00E872D4">
      <w:pPr>
        <w:pStyle w:val="ListParagraph"/>
        <w:numPr>
          <w:ilvl w:val="1"/>
          <w:numId w:val="29"/>
        </w:numPr>
        <w:ind w:left="567" w:hanging="567"/>
      </w:pPr>
      <w:r w:rsidRPr="002E79A2">
        <w:t>Objednatel je oprávněn odstoupit od Smlouvy v souladu s Občanským zákoníkem pro podstatné porušení Smlouvy ze strany Dodavatele, čímž se rozumí, že:</w:t>
      </w:r>
    </w:p>
    <w:p w:rsidR="004823F7" w:rsidRPr="002E79A2" w:rsidRDefault="004823F7" w:rsidP="00E872D4">
      <w:pPr>
        <w:pStyle w:val="ListParagraph"/>
        <w:numPr>
          <w:ilvl w:val="0"/>
          <w:numId w:val="3"/>
        </w:numPr>
        <w:ind w:left="993"/>
      </w:pPr>
      <w:r w:rsidRPr="002E79A2">
        <w:t>Dodavatel poskytuje Služby v prokazatelně nízké kvalitě, v rozporu se Smlouvou, zadávacími podmínkami či nabídkou Dodavatele podanou na Veřejnou zakázku a příslušnými platnými právními předpisy a pravidly; nebo</w:t>
      </w:r>
    </w:p>
    <w:p w:rsidR="004823F7" w:rsidRPr="002E79A2" w:rsidRDefault="004823F7" w:rsidP="00E872D4">
      <w:pPr>
        <w:pStyle w:val="ListParagraph"/>
        <w:numPr>
          <w:ilvl w:val="0"/>
          <w:numId w:val="3"/>
        </w:numPr>
        <w:ind w:left="993"/>
      </w:pPr>
      <w:r w:rsidRPr="002E79A2">
        <w:t>Dodavatel nezahájí, přeruší nebo zastaví poskytování Služeb a bude zřejmé, že nebude schopen plnit své závazky dle Smlouvy v celém rozsahu do konce doby trvání Smlouvy</w:t>
      </w:r>
      <w:r>
        <w:t>;</w:t>
      </w:r>
    </w:p>
    <w:p w:rsidR="004823F7" w:rsidRPr="002E79A2" w:rsidRDefault="004823F7" w:rsidP="00E872D4">
      <w:pPr>
        <w:pStyle w:val="ListParagraph"/>
        <w:numPr>
          <w:ilvl w:val="0"/>
          <w:numId w:val="3"/>
        </w:numPr>
        <w:ind w:left="993"/>
      </w:pPr>
      <w:r w:rsidRPr="002E79A2">
        <w:t>jestliže Dodavatel ujistil Objednatele, že Služba má určité vlastnosti, zejména vlastnosti Objednatelem vymíněné, anebo že nemá žádné vady, a toto ujištěn</w:t>
      </w:r>
      <w:r>
        <w:t>í se následně ukáže nepravdivým.</w:t>
      </w:r>
    </w:p>
    <w:p w:rsidR="004823F7" w:rsidRPr="002E79A2" w:rsidRDefault="004823F7" w:rsidP="00E872D4">
      <w:pPr>
        <w:pStyle w:val="ListParagraph"/>
        <w:numPr>
          <w:ilvl w:val="1"/>
          <w:numId w:val="29"/>
        </w:numPr>
        <w:ind w:left="567" w:hanging="567"/>
      </w:pPr>
      <w:r w:rsidRPr="002E79A2">
        <w:t>Objednatel je dále oprávněn odstoupit od Smlouvy, jestliže zjistí, že Dodavatel:</w:t>
      </w:r>
    </w:p>
    <w:p w:rsidR="004823F7" w:rsidRPr="002E79A2" w:rsidRDefault="004823F7" w:rsidP="00E872D4">
      <w:pPr>
        <w:pStyle w:val="ListParagraph"/>
        <w:numPr>
          <w:ilvl w:val="0"/>
          <w:numId w:val="4"/>
        </w:numPr>
        <w:ind w:left="993"/>
      </w:pPr>
      <w:r w:rsidRPr="002E79A2">
        <w:t>nabízel, dával, přijímal nebo zprostředkovával nějaké hodnoty s cílem ovlivnit chování nebo jednání kohokoliv, ať již státního úředníka nebo někoho jiného, přímo nebo nepřímo, v zadávacím řízení nebo při provádění Smlouvy; nebo</w:t>
      </w:r>
    </w:p>
    <w:p w:rsidR="004823F7" w:rsidRPr="002E79A2" w:rsidRDefault="004823F7" w:rsidP="00E872D4">
      <w:pPr>
        <w:pStyle w:val="ListParagraph"/>
        <w:numPr>
          <w:ilvl w:val="0"/>
          <w:numId w:val="4"/>
        </w:numPr>
        <w:ind w:left="993"/>
      </w:pPr>
      <w:r w:rsidRPr="002E79A2">
        <w:t>zkresloval skutečnosti za účelem ovlivnění zadávacího řízení nebo provádění Smlouvy ke škodě Objednatele, včetně užití podvodných praktik k potlačení a snížení výhod volné a otevřené soutěže.</w:t>
      </w:r>
    </w:p>
    <w:p w:rsidR="004823F7" w:rsidRPr="002E79A2" w:rsidRDefault="004823F7" w:rsidP="00E872D4">
      <w:pPr>
        <w:pStyle w:val="ListParagraph"/>
        <w:numPr>
          <w:ilvl w:val="1"/>
          <w:numId w:val="29"/>
        </w:numPr>
        <w:ind w:left="567" w:hanging="567"/>
      </w:pPr>
      <w:r w:rsidRPr="002E79A2">
        <w:t>V případě předčasného ukončení Smlouvy dohodou, výpovědí či odstoupením jsou Smluvní strany povinny provést vypořádání vzájemných závazků v souladu s právními předpisy. Tímto nejsou dotčena ustanovení týkající se smluvních pokut a náhrady škody.</w:t>
      </w:r>
    </w:p>
    <w:p w:rsidR="004823F7" w:rsidRPr="000C57FE" w:rsidRDefault="004823F7" w:rsidP="00E872D4">
      <w:pPr>
        <w:pStyle w:val="Heading1"/>
        <w:numPr>
          <w:ilvl w:val="0"/>
          <w:numId w:val="29"/>
        </w:numPr>
        <w:ind w:left="357" w:hanging="357"/>
      </w:pPr>
      <w:r w:rsidRPr="000C57FE">
        <w:t>ZÁVĚREČNÁ USTANOVENÍ</w:t>
      </w:r>
    </w:p>
    <w:p w:rsidR="004823F7" w:rsidRPr="000C57FE" w:rsidRDefault="004823F7" w:rsidP="000C57FE">
      <w:pPr>
        <w:pStyle w:val="ListParagraph"/>
        <w:numPr>
          <w:ilvl w:val="1"/>
          <w:numId w:val="29"/>
        </w:numPr>
        <w:ind w:left="567" w:hanging="567"/>
      </w:pPr>
      <w:r w:rsidRPr="000C57FE">
        <w:t>Otázky touto Smlouvou výslovně neupravené se řídí českým právním řádem, zejména příslušnými ustanoveními Občanského zákoníku a předpisy souvisejícími.</w:t>
      </w:r>
    </w:p>
    <w:p w:rsidR="004823F7" w:rsidRPr="000C57FE" w:rsidRDefault="004823F7" w:rsidP="000C57FE">
      <w:pPr>
        <w:pStyle w:val="ListParagraph"/>
        <w:numPr>
          <w:ilvl w:val="1"/>
          <w:numId w:val="29"/>
        </w:numPr>
        <w:ind w:left="567" w:hanging="567"/>
      </w:pPr>
      <w:r w:rsidRPr="000C57FE">
        <w:t>Veškeré případné spory vzniklé na základě Smlouvy budou řešeny primárně dohodou Smluvních stran, v případě přetrvávající neshody pak před příslušnými obecnými soudy České republiky.</w:t>
      </w:r>
    </w:p>
    <w:p w:rsidR="004823F7" w:rsidRPr="000C57FE" w:rsidRDefault="004823F7" w:rsidP="000C57FE">
      <w:pPr>
        <w:pStyle w:val="ListParagraph"/>
        <w:numPr>
          <w:ilvl w:val="1"/>
          <w:numId w:val="29"/>
        </w:numPr>
        <w:ind w:left="567" w:hanging="567"/>
      </w:pPr>
      <w:r w:rsidRPr="000C57FE">
        <w:t>Případná neplatnost, neúčinnost, neúplnost či nejasnost některého ustanovení Smlouvy nemá za následek neplatnost ostatních ustanovení či Smlouvy, přičemž Smluvní strany bezodkladně takové ustanovení nahradí novým ustanovením, které nejlépe vystihne vůli Smluvních stran a bude se svým obsahem nejvíce blížit účelu původního ustanovení. To samé bude aplikováno, jestliže se ukáže, že Smlouva obsahuje mezery. V případě, že takováto mezera nemůže být vyplněna výkladem, Smluvní strany jsou povinny spolupracovat na vytvoření odpovídajícího dodatku k Smlouvě.</w:t>
      </w:r>
    </w:p>
    <w:p w:rsidR="004823F7" w:rsidRPr="000C57FE" w:rsidRDefault="004823F7" w:rsidP="000C57FE">
      <w:pPr>
        <w:pStyle w:val="ListParagraph"/>
        <w:numPr>
          <w:ilvl w:val="1"/>
          <w:numId w:val="29"/>
        </w:numPr>
        <w:ind w:left="567" w:hanging="567"/>
      </w:pPr>
      <w:r w:rsidRPr="000C57FE">
        <w:t>Dodavatel souhlasí s tím, aby Objednatel po dobu trvání Smlouvy zpracovával jeho osobní údaje uvedené ve Smlouvě a údaje o Smlouvě pro účely archivace, či případné kontrolní činnosti nebo pro účely vyplývající z právních předpisů. Dále svým podpisem uděluje Objednateli souhlas ke zpracování jeho osobních údajů ve výše uvedeném rozsahu a pro výše uvedené účely, a to po dobu nezbytně nutnou.</w:t>
      </w:r>
    </w:p>
    <w:p w:rsidR="004823F7" w:rsidRPr="000C57FE" w:rsidRDefault="004823F7" w:rsidP="000C57FE">
      <w:pPr>
        <w:pStyle w:val="ListParagraph"/>
        <w:numPr>
          <w:ilvl w:val="1"/>
          <w:numId w:val="29"/>
        </w:numPr>
        <w:ind w:left="567" w:hanging="567"/>
      </w:pPr>
      <w:r w:rsidRPr="000C57FE">
        <w:t>Dodavatel bezvýhradně souhlasí se zveřejněním své identifikace a plného znění Smlouvy včetně cen v souladu s příslušnými právními předpisy. Zveřejnění obsahu Smlouvy nemůže být považováno za porušení povinnosti mlčenlivosti.</w:t>
      </w:r>
    </w:p>
    <w:p w:rsidR="004823F7" w:rsidRPr="000C57FE" w:rsidRDefault="004823F7" w:rsidP="000C57FE">
      <w:pPr>
        <w:pStyle w:val="ListParagraph"/>
        <w:numPr>
          <w:ilvl w:val="1"/>
          <w:numId w:val="29"/>
        </w:numPr>
        <w:ind w:left="567" w:hanging="567"/>
      </w:pPr>
      <w:r w:rsidRPr="000C57FE">
        <w:t>Tato Smlouva může být měněna nebo doplňována pouze formou písemných vzestupně číslovaných dodatků odsouhlasených a podepsaných oběma Smluvními stranami.</w:t>
      </w:r>
    </w:p>
    <w:p w:rsidR="004823F7" w:rsidRPr="000C57FE" w:rsidRDefault="004823F7" w:rsidP="000C57FE">
      <w:pPr>
        <w:pStyle w:val="ListParagraph"/>
        <w:numPr>
          <w:ilvl w:val="1"/>
          <w:numId w:val="29"/>
        </w:numPr>
        <w:ind w:left="567" w:hanging="567"/>
      </w:pPr>
      <w:r w:rsidRPr="000C57FE">
        <w:t>Nedílnou součástí Smlouvy je Příloha č. 1: Výpis z obchodního rejstříku Dodavatele.</w:t>
      </w:r>
    </w:p>
    <w:p w:rsidR="004823F7" w:rsidRPr="000C57FE" w:rsidRDefault="004823F7" w:rsidP="000C57FE">
      <w:pPr>
        <w:pStyle w:val="ListParagraph"/>
        <w:numPr>
          <w:ilvl w:val="1"/>
          <w:numId w:val="29"/>
        </w:numPr>
        <w:ind w:left="567" w:hanging="567"/>
      </w:pPr>
      <w:r w:rsidRPr="000C57FE">
        <w:t xml:space="preserve">Smlouva nabývá platnosti dnem jejího podpisu oběma Smluvními stranami a účinnosti dnem jejího uveřejnění v Informačním systému Registr smluv dle </w:t>
      </w:r>
      <w:r>
        <w:t xml:space="preserve">příslušného právního předpisu, </w:t>
      </w:r>
      <w:r w:rsidRPr="000C57FE">
        <w:t xml:space="preserve">uveřejnění Smlouvy v Informačním systému Registr smluv zajistí Objednatel. </w:t>
      </w:r>
    </w:p>
    <w:p w:rsidR="004823F7" w:rsidRPr="000C57FE" w:rsidRDefault="004823F7" w:rsidP="000C57FE">
      <w:pPr>
        <w:pStyle w:val="ListParagraph"/>
        <w:numPr>
          <w:ilvl w:val="1"/>
          <w:numId w:val="29"/>
        </w:numPr>
        <w:ind w:left="567" w:hanging="567"/>
      </w:pPr>
      <w:r w:rsidRPr="000C57FE">
        <w:t>Smlouva je vyhotovena ve 3 stejnopisech s platností originálu, přičemž Objednatel obdrží dvě vyhotovení a Dodavatel obdrží jedno vyhotovení.</w:t>
      </w:r>
    </w:p>
    <w:p w:rsidR="004823F7" w:rsidRPr="000C57FE" w:rsidRDefault="004823F7" w:rsidP="000C57FE">
      <w:pPr>
        <w:pStyle w:val="ListParagraph"/>
        <w:numPr>
          <w:ilvl w:val="1"/>
          <w:numId w:val="29"/>
        </w:numPr>
        <w:ind w:left="567" w:hanging="567"/>
      </w:pPr>
      <w:r w:rsidRPr="000C57FE">
        <w:t>Smluvní strany prohlašují, že si Smlouvu přečetly, že porozuměly jejímu obsahu, že byla uzavřena po vzájemném projednání a že tuto Smlouvu uzavírají na základě své svobodné, pravé a vážné vůle, prosté omylu, nikoliv v tísni nebo za nápadně nevýhodných podmínek. Na důkaz toho připojují Smluvní strany níže své podpisy.</w:t>
      </w:r>
    </w:p>
    <w:p w:rsidR="004823F7" w:rsidRDefault="004823F7" w:rsidP="002E79A2"/>
    <w:p w:rsidR="004823F7" w:rsidRDefault="004823F7" w:rsidP="002E79A2"/>
    <w:p w:rsidR="004823F7" w:rsidRDefault="004823F7" w:rsidP="002E79A2"/>
    <w:p w:rsidR="004823F7" w:rsidRPr="002E79A2" w:rsidRDefault="004823F7" w:rsidP="002E79A2"/>
    <w:tbl>
      <w:tblPr>
        <w:tblW w:w="0" w:type="auto"/>
        <w:jc w:val="center"/>
        <w:tblLook w:val="00A0"/>
      </w:tblPr>
      <w:tblGrid>
        <w:gridCol w:w="4644"/>
        <w:gridCol w:w="4644"/>
      </w:tblGrid>
      <w:tr w:rsidR="004823F7" w:rsidRPr="002E79A2" w:rsidTr="00DD4355">
        <w:trPr>
          <w:jc w:val="center"/>
        </w:trPr>
        <w:tc>
          <w:tcPr>
            <w:tcW w:w="4606" w:type="dxa"/>
          </w:tcPr>
          <w:p w:rsidR="004823F7" w:rsidRPr="002E79A2" w:rsidRDefault="004823F7" w:rsidP="00DD4355">
            <w:pPr>
              <w:jc w:val="left"/>
            </w:pPr>
            <w:r w:rsidRPr="002E79A2">
              <w:t>Za Objednatele:</w:t>
            </w:r>
          </w:p>
        </w:tc>
        <w:tc>
          <w:tcPr>
            <w:tcW w:w="4606" w:type="dxa"/>
          </w:tcPr>
          <w:p w:rsidR="004823F7" w:rsidRPr="002E79A2" w:rsidRDefault="004823F7" w:rsidP="00DD4355">
            <w:pPr>
              <w:jc w:val="left"/>
            </w:pPr>
            <w:r w:rsidRPr="002E79A2">
              <w:t>Za Dodavatele:</w:t>
            </w:r>
          </w:p>
        </w:tc>
      </w:tr>
      <w:tr w:rsidR="004823F7" w:rsidRPr="002E79A2" w:rsidTr="00DD4355">
        <w:trPr>
          <w:trHeight w:val="723"/>
          <w:jc w:val="center"/>
        </w:trPr>
        <w:tc>
          <w:tcPr>
            <w:tcW w:w="4606" w:type="dxa"/>
            <w:vAlign w:val="bottom"/>
          </w:tcPr>
          <w:p w:rsidR="004823F7" w:rsidRPr="002E79A2" w:rsidRDefault="004823F7" w:rsidP="00DD4355">
            <w:pPr>
              <w:jc w:val="left"/>
            </w:pPr>
            <w:r w:rsidRPr="002E79A2">
              <w:t>V Praze, dne ………………………………</w:t>
            </w:r>
          </w:p>
        </w:tc>
        <w:tc>
          <w:tcPr>
            <w:tcW w:w="4606" w:type="dxa"/>
            <w:vAlign w:val="bottom"/>
          </w:tcPr>
          <w:p w:rsidR="004823F7" w:rsidRPr="002E79A2" w:rsidRDefault="004823F7" w:rsidP="00DD4355">
            <w:pPr>
              <w:jc w:val="left"/>
            </w:pPr>
            <w:r w:rsidRPr="002E79A2">
              <w:t xml:space="preserve">V </w:t>
            </w:r>
            <w:r w:rsidRPr="00DD4355">
              <w:rPr>
                <w:bCs/>
                <w:iCs/>
              </w:rPr>
              <w:t>Praze</w:t>
            </w:r>
            <w:r w:rsidRPr="002E79A2">
              <w:t>, dne ………………………………</w:t>
            </w:r>
          </w:p>
        </w:tc>
      </w:tr>
      <w:tr w:rsidR="004823F7" w:rsidRPr="002E79A2" w:rsidTr="00DD4355">
        <w:trPr>
          <w:trHeight w:val="1234"/>
          <w:jc w:val="center"/>
        </w:trPr>
        <w:tc>
          <w:tcPr>
            <w:tcW w:w="4606" w:type="dxa"/>
            <w:vAlign w:val="bottom"/>
          </w:tcPr>
          <w:p w:rsidR="004823F7" w:rsidRPr="002E79A2" w:rsidRDefault="004823F7" w:rsidP="00DD4355">
            <w:pPr>
              <w:jc w:val="left"/>
            </w:pPr>
            <w:r w:rsidRPr="002E79A2">
              <w:t>…………………………………………………</w:t>
            </w:r>
          </w:p>
        </w:tc>
        <w:tc>
          <w:tcPr>
            <w:tcW w:w="4606" w:type="dxa"/>
            <w:vAlign w:val="bottom"/>
          </w:tcPr>
          <w:p w:rsidR="004823F7" w:rsidRPr="002E79A2" w:rsidRDefault="004823F7" w:rsidP="00DD4355">
            <w:pPr>
              <w:jc w:val="left"/>
            </w:pPr>
            <w:r w:rsidRPr="002E79A2">
              <w:t>…………………………………………………</w:t>
            </w:r>
          </w:p>
        </w:tc>
      </w:tr>
      <w:tr w:rsidR="004823F7" w:rsidRPr="002E79A2" w:rsidTr="00DD4355">
        <w:trPr>
          <w:jc w:val="center"/>
        </w:trPr>
        <w:tc>
          <w:tcPr>
            <w:tcW w:w="4606" w:type="dxa"/>
          </w:tcPr>
          <w:p w:rsidR="004823F7" w:rsidRPr="007F4452" w:rsidRDefault="004823F7" w:rsidP="00DD4355">
            <w:pPr>
              <w:jc w:val="left"/>
            </w:pPr>
            <w:r>
              <w:t xml:space="preserve">Ing. </w:t>
            </w:r>
            <w:r w:rsidRPr="007F4452">
              <w:t>Vladimír Fanta</w:t>
            </w:r>
          </w:p>
          <w:p w:rsidR="004823F7" w:rsidRPr="007F4452" w:rsidRDefault="004823F7" w:rsidP="00DD4355">
            <w:pPr>
              <w:jc w:val="left"/>
            </w:pPr>
            <w:r w:rsidRPr="007F4452">
              <w:t>Ředitel</w:t>
            </w:r>
          </w:p>
          <w:p w:rsidR="004823F7" w:rsidRPr="002E79A2" w:rsidRDefault="004823F7" w:rsidP="00DD4355">
            <w:pPr>
              <w:ind w:left="0"/>
              <w:jc w:val="left"/>
            </w:pPr>
          </w:p>
        </w:tc>
        <w:tc>
          <w:tcPr>
            <w:tcW w:w="4606" w:type="dxa"/>
          </w:tcPr>
          <w:p w:rsidR="004823F7" w:rsidRPr="00DD4355" w:rsidRDefault="004823F7" w:rsidP="00DD4355">
            <w:pPr>
              <w:jc w:val="left"/>
              <w:rPr>
                <w:highlight w:val="yellow"/>
              </w:rPr>
            </w:pPr>
            <w:r w:rsidRPr="00DD4355">
              <w:rPr>
                <w:highlight w:val="yellow"/>
              </w:rPr>
              <w:t>[doplní účastník]</w:t>
            </w:r>
            <w:r w:rsidRPr="002E79A2">
              <w:br/>
            </w:r>
            <w:r w:rsidRPr="00DD4355">
              <w:rPr>
                <w:highlight w:val="yellow"/>
              </w:rPr>
              <w:t>[doplní účastník]</w:t>
            </w:r>
          </w:p>
        </w:tc>
      </w:tr>
    </w:tbl>
    <w:p w:rsidR="004823F7" w:rsidRPr="002E79A2" w:rsidRDefault="004823F7" w:rsidP="002E79A2"/>
    <w:p w:rsidR="004823F7" w:rsidRPr="002E79A2" w:rsidRDefault="004823F7" w:rsidP="002E79A2">
      <w:r w:rsidRPr="002E79A2">
        <w:br w:type="page"/>
      </w:r>
    </w:p>
    <w:p w:rsidR="004823F7" w:rsidRPr="002E79A2" w:rsidRDefault="004823F7" w:rsidP="002E79A2">
      <w:pPr>
        <w:pStyle w:val="ListParagraph"/>
      </w:pPr>
      <w:r w:rsidRPr="002E79A2">
        <w:t>Příloha č. 1: Výpis z obchodního rejstříku Dodavatele</w:t>
      </w:r>
    </w:p>
    <w:p w:rsidR="004823F7" w:rsidRPr="002E79A2" w:rsidRDefault="004823F7" w:rsidP="002E79A2"/>
    <w:sectPr w:rsidR="004823F7" w:rsidRPr="002E79A2" w:rsidSect="00A430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F7" w:rsidRDefault="004823F7" w:rsidP="002E79A2">
      <w:r>
        <w:separator/>
      </w:r>
    </w:p>
    <w:p w:rsidR="004823F7" w:rsidRDefault="004823F7" w:rsidP="002E79A2"/>
  </w:endnote>
  <w:endnote w:type="continuationSeparator" w:id="0">
    <w:p w:rsidR="004823F7" w:rsidRDefault="004823F7" w:rsidP="002E79A2">
      <w:r>
        <w:continuationSeparator/>
      </w:r>
    </w:p>
    <w:p w:rsidR="004823F7" w:rsidRDefault="004823F7" w:rsidP="002E79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F7" w:rsidRPr="00A1477B" w:rsidRDefault="004823F7" w:rsidP="00A1477B">
    <w:pPr>
      <w:pStyle w:val="Footer"/>
      <w:ind w:left="0"/>
      <w:rPr>
        <w:rFonts w:ascii="Calibri" w:hAnsi="Calibri" w:cs="Calibri"/>
        <w:color w:val="000000"/>
        <w:sz w:val="18"/>
        <w:szCs w:val="18"/>
      </w:rPr>
    </w:pPr>
    <w:r w:rsidRPr="00D6109E">
      <w:rPr>
        <w:color w:val="808080"/>
        <w:sz w:val="18"/>
        <w:szCs w:val="18"/>
      </w:rPr>
      <w:t>CENIA, česká informační agentura životního prostředí, Vršovická 1442/65, 100 10 Praha 10 - Vršovice</w:t>
    </w:r>
    <w:r w:rsidRPr="00C8092F">
      <w:tab/>
    </w:r>
    <w:r w:rsidRPr="00C8092F">
      <w:tab/>
    </w:r>
    <w:r w:rsidRPr="00A1477B">
      <w:rPr>
        <w:rFonts w:ascii="Calibri" w:hAnsi="Calibri" w:cs="Calibri"/>
        <w:color w:val="000000"/>
        <w:sz w:val="18"/>
        <w:szCs w:val="18"/>
      </w:rPr>
      <w:fldChar w:fldCharType="begin"/>
    </w:r>
    <w:r w:rsidRPr="00A1477B">
      <w:rPr>
        <w:rFonts w:ascii="Calibri" w:hAnsi="Calibri" w:cs="Calibri"/>
        <w:color w:val="000000"/>
        <w:sz w:val="18"/>
        <w:szCs w:val="18"/>
      </w:rPr>
      <w:instrText>PAGE   \* MERGEFORMAT</w:instrText>
    </w:r>
    <w:r w:rsidRPr="00A1477B">
      <w:rPr>
        <w:rFonts w:ascii="Calibri" w:hAnsi="Calibri" w:cs="Calibri"/>
        <w:color w:val="000000"/>
        <w:sz w:val="18"/>
        <w:szCs w:val="18"/>
      </w:rPr>
      <w:fldChar w:fldCharType="separate"/>
    </w:r>
    <w:r>
      <w:rPr>
        <w:rFonts w:ascii="Calibri" w:hAnsi="Calibri" w:cs="Calibri"/>
        <w:noProof/>
        <w:color w:val="000000"/>
        <w:sz w:val="18"/>
        <w:szCs w:val="18"/>
      </w:rPr>
      <w:t>13</w:t>
    </w:r>
    <w:r w:rsidRPr="00A1477B">
      <w:rPr>
        <w:rFonts w:ascii="Calibri" w:hAnsi="Calibri" w:cs="Calibri"/>
        <w:color w:val="000000"/>
        <w:sz w:val="18"/>
        <w:szCs w:val="18"/>
      </w:rPr>
      <w:fldChar w:fldCharType="end"/>
    </w:r>
    <w:r w:rsidRPr="00A1477B">
      <w:rPr>
        <w:rFonts w:ascii="Calibri" w:hAnsi="Calibri" w:cs="Calibri"/>
        <w:color w:val="000000"/>
        <w:sz w:val="18"/>
        <w:szCs w:val="18"/>
      </w:rPr>
      <w:t>/</w:t>
    </w:r>
    <w:fldSimple w:instr=" NUMPAGES   \* MERGEFORMAT ">
      <w:r w:rsidRPr="004C3653">
        <w:rPr>
          <w:rFonts w:ascii="Calibri" w:hAnsi="Calibri" w:cs="Calibri"/>
          <w:noProof/>
          <w:color w:val="000000"/>
          <w:sz w:val="18"/>
          <w:szCs w:val="18"/>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F7" w:rsidRDefault="004823F7" w:rsidP="002E79A2">
      <w:r>
        <w:separator/>
      </w:r>
    </w:p>
    <w:p w:rsidR="004823F7" w:rsidRDefault="004823F7" w:rsidP="002E79A2"/>
  </w:footnote>
  <w:footnote w:type="continuationSeparator" w:id="0">
    <w:p w:rsidR="004823F7" w:rsidRDefault="004823F7" w:rsidP="002E79A2">
      <w:r>
        <w:continuationSeparator/>
      </w:r>
    </w:p>
    <w:p w:rsidR="004823F7" w:rsidRDefault="004823F7" w:rsidP="002E79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F7" w:rsidRPr="00D15AAB" w:rsidRDefault="004823F7" w:rsidP="00550F82">
    <w:pPr>
      <w:spacing w:before="120" w:after="0" w:line="240" w:lineRule="auto"/>
      <w:ind w:left="709" w:hanging="709"/>
      <w:rPr>
        <w:rFonts w:ascii="Calibri" w:hAnsi="Calibri" w:cs="Calibri"/>
        <w:b/>
        <w:color w:val="000000"/>
        <w:sz w:val="18"/>
        <w:szCs w:val="18"/>
      </w:rPr>
    </w:pPr>
    <w:r w:rsidRPr="00D15AAB">
      <w:rPr>
        <w:rFonts w:ascii="Calibri" w:hAnsi="Calibri" w:cs="Calibri"/>
        <w:b/>
        <w:color w:val="000000"/>
        <w:sz w:val="18"/>
        <w:szCs w:val="18"/>
      </w:rPr>
      <w:t>Příloha č. 6 – Návrh smlouvy</w:t>
    </w:r>
  </w:p>
  <w:p w:rsidR="004823F7" w:rsidRDefault="004823F7" w:rsidP="00550F82">
    <w:pPr>
      <w:ind w:left="0"/>
      <w:jc w:val="left"/>
      <w:rPr>
        <w:rFonts w:ascii="Calibri" w:hAnsi="Calibri"/>
        <w:b/>
        <w:color w:val="808080"/>
        <w:sz w:val="18"/>
        <w:szCs w:val="18"/>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2" o:spid="_x0000_s2049" type="#_x0000_t75" alt="CENIA barva" style="position:absolute;margin-left:396pt;margin-top:-17.55pt;width:53.05pt;height:39.75pt;z-index:-251656192;visibility:visible">
          <v:imagedata r:id="rId1" o:title=""/>
        </v:shape>
      </w:pict>
    </w:r>
    <w:r w:rsidRPr="00550F82">
      <w:rPr>
        <w:rFonts w:ascii="Calibri" w:hAnsi="Calibri"/>
        <w:b/>
        <w:color w:val="808080"/>
        <w:sz w:val="18"/>
        <w:szCs w:val="18"/>
      </w:rPr>
      <w:t>Služby v oblasti ICT programového/projektového řízení EnviUEP a projektového řízení OpenData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47C"/>
    <w:multiLevelType w:val="multilevel"/>
    <w:tmpl w:val="A5FC57B6"/>
    <w:lvl w:ilvl="0">
      <w:start w:val="1"/>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066059B"/>
    <w:multiLevelType w:val="hybridMultilevel"/>
    <w:tmpl w:val="314A3838"/>
    <w:lvl w:ilvl="0" w:tplc="04050017">
      <w:start w:val="1"/>
      <w:numFmt w:val="lowerLetter"/>
      <w:lvlText w:val="%1)"/>
      <w:lvlJc w:val="left"/>
      <w:pPr>
        <w:ind w:left="2136" w:hanging="360"/>
      </w:pPr>
      <w:rPr>
        <w:rFonts w:cs="Times New Roman"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051E10D2"/>
    <w:multiLevelType w:val="multilevel"/>
    <w:tmpl w:val="699CE0FE"/>
    <w:lvl w:ilvl="0">
      <w:start w:val="6"/>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600"/>
        </w:tabs>
        <w:ind w:left="600" w:hanging="60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A0F00BE"/>
    <w:multiLevelType w:val="multilevel"/>
    <w:tmpl w:val="05C6FE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942257"/>
    <w:multiLevelType w:val="hybridMultilevel"/>
    <w:tmpl w:val="2F624FC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nsid w:val="125617FC"/>
    <w:multiLevelType w:val="hybridMultilevel"/>
    <w:tmpl w:val="4F54AC54"/>
    <w:lvl w:ilvl="0" w:tplc="B644F6BC">
      <w:start w:val="1"/>
      <w:numFmt w:val="lowerLetter"/>
      <w:lvlText w:val="%1)"/>
      <w:lvlJc w:val="left"/>
      <w:pPr>
        <w:ind w:left="1416" w:hanging="360"/>
      </w:pPr>
      <w:rPr>
        <w:rFonts w:cs="Times New Roman" w:hint="default"/>
      </w:rPr>
    </w:lvl>
    <w:lvl w:ilvl="1" w:tplc="04050019" w:tentative="1">
      <w:start w:val="1"/>
      <w:numFmt w:val="lowerLetter"/>
      <w:lvlText w:val="%2."/>
      <w:lvlJc w:val="left"/>
      <w:pPr>
        <w:ind w:left="2136" w:hanging="360"/>
      </w:pPr>
      <w:rPr>
        <w:rFonts w:cs="Times New Roman"/>
      </w:rPr>
    </w:lvl>
    <w:lvl w:ilvl="2" w:tplc="0405001B" w:tentative="1">
      <w:start w:val="1"/>
      <w:numFmt w:val="lowerRoman"/>
      <w:lvlText w:val="%3."/>
      <w:lvlJc w:val="right"/>
      <w:pPr>
        <w:ind w:left="2856" w:hanging="180"/>
      </w:pPr>
      <w:rPr>
        <w:rFonts w:cs="Times New Roman"/>
      </w:rPr>
    </w:lvl>
    <w:lvl w:ilvl="3" w:tplc="0405000F" w:tentative="1">
      <w:start w:val="1"/>
      <w:numFmt w:val="decimal"/>
      <w:lvlText w:val="%4."/>
      <w:lvlJc w:val="left"/>
      <w:pPr>
        <w:ind w:left="3576" w:hanging="360"/>
      </w:pPr>
      <w:rPr>
        <w:rFonts w:cs="Times New Roman"/>
      </w:rPr>
    </w:lvl>
    <w:lvl w:ilvl="4" w:tplc="04050019" w:tentative="1">
      <w:start w:val="1"/>
      <w:numFmt w:val="lowerLetter"/>
      <w:lvlText w:val="%5."/>
      <w:lvlJc w:val="left"/>
      <w:pPr>
        <w:ind w:left="4296" w:hanging="360"/>
      </w:pPr>
      <w:rPr>
        <w:rFonts w:cs="Times New Roman"/>
      </w:rPr>
    </w:lvl>
    <w:lvl w:ilvl="5" w:tplc="0405001B" w:tentative="1">
      <w:start w:val="1"/>
      <w:numFmt w:val="lowerRoman"/>
      <w:lvlText w:val="%6."/>
      <w:lvlJc w:val="right"/>
      <w:pPr>
        <w:ind w:left="5016" w:hanging="180"/>
      </w:pPr>
      <w:rPr>
        <w:rFonts w:cs="Times New Roman"/>
      </w:rPr>
    </w:lvl>
    <w:lvl w:ilvl="6" w:tplc="0405000F" w:tentative="1">
      <w:start w:val="1"/>
      <w:numFmt w:val="decimal"/>
      <w:lvlText w:val="%7."/>
      <w:lvlJc w:val="left"/>
      <w:pPr>
        <w:ind w:left="5736" w:hanging="360"/>
      </w:pPr>
      <w:rPr>
        <w:rFonts w:cs="Times New Roman"/>
      </w:rPr>
    </w:lvl>
    <w:lvl w:ilvl="7" w:tplc="04050019" w:tentative="1">
      <w:start w:val="1"/>
      <w:numFmt w:val="lowerLetter"/>
      <w:lvlText w:val="%8."/>
      <w:lvlJc w:val="left"/>
      <w:pPr>
        <w:ind w:left="6456" w:hanging="360"/>
      </w:pPr>
      <w:rPr>
        <w:rFonts w:cs="Times New Roman"/>
      </w:rPr>
    </w:lvl>
    <w:lvl w:ilvl="8" w:tplc="0405001B" w:tentative="1">
      <w:start w:val="1"/>
      <w:numFmt w:val="lowerRoman"/>
      <w:lvlText w:val="%9."/>
      <w:lvlJc w:val="right"/>
      <w:pPr>
        <w:ind w:left="7176" w:hanging="180"/>
      </w:pPr>
      <w:rPr>
        <w:rFonts w:cs="Times New Roman"/>
      </w:rPr>
    </w:lvl>
  </w:abstractNum>
  <w:abstractNum w:abstractNumId="6">
    <w:nsid w:val="126D0521"/>
    <w:multiLevelType w:val="hybridMultilevel"/>
    <w:tmpl w:val="DF86C82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nsid w:val="132E0FF3"/>
    <w:multiLevelType w:val="hybridMultilevel"/>
    <w:tmpl w:val="7E0C2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785EBF"/>
    <w:multiLevelType w:val="multilevel"/>
    <w:tmpl w:val="AF98ECB2"/>
    <w:lvl w:ilvl="0">
      <w:start w:val="1"/>
      <w:numFmt w:val="decimal"/>
      <w:pStyle w:val="Heading1"/>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86641B0"/>
    <w:multiLevelType w:val="multilevel"/>
    <w:tmpl w:val="05C6FE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9836080"/>
    <w:multiLevelType w:val="multilevel"/>
    <w:tmpl w:val="04050025"/>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28B731FC"/>
    <w:multiLevelType w:val="multilevel"/>
    <w:tmpl w:val="FDF65EEC"/>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91837C0"/>
    <w:multiLevelType w:val="multilevel"/>
    <w:tmpl w:val="05C6FEA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DD86AC6"/>
    <w:multiLevelType w:val="hybridMultilevel"/>
    <w:tmpl w:val="314A3838"/>
    <w:lvl w:ilvl="0" w:tplc="04050017">
      <w:start w:val="1"/>
      <w:numFmt w:val="lowerLetter"/>
      <w:lvlText w:val="%1)"/>
      <w:lvlJc w:val="left"/>
      <w:pPr>
        <w:ind w:left="2136" w:hanging="360"/>
      </w:pPr>
      <w:rPr>
        <w:rFonts w:cs="Times New Roman"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nsid w:val="35FE19CE"/>
    <w:multiLevelType w:val="hybridMultilevel"/>
    <w:tmpl w:val="6722DBE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3FEC743A"/>
    <w:multiLevelType w:val="hybridMultilevel"/>
    <w:tmpl w:val="314A3838"/>
    <w:lvl w:ilvl="0" w:tplc="04050017">
      <w:start w:val="1"/>
      <w:numFmt w:val="lowerLetter"/>
      <w:lvlText w:val="%1)"/>
      <w:lvlJc w:val="left"/>
      <w:pPr>
        <w:ind w:left="2136" w:hanging="360"/>
      </w:pPr>
      <w:rPr>
        <w:rFonts w:cs="Times New Roman"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nsid w:val="44FB0CCC"/>
    <w:multiLevelType w:val="hybridMultilevel"/>
    <w:tmpl w:val="314A3838"/>
    <w:lvl w:ilvl="0" w:tplc="04050017">
      <w:start w:val="1"/>
      <w:numFmt w:val="lowerLetter"/>
      <w:lvlText w:val="%1)"/>
      <w:lvlJc w:val="left"/>
      <w:pPr>
        <w:ind w:left="2136" w:hanging="360"/>
      </w:pPr>
      <w:rPr>
        <w:rFonts w:cs="Times New Roman"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nsid w:val="47973EE0"/>
    <w:multiLevelType w:val="hybridMultilevel"/>
    <w:tmpl w:val="98DA668E"/>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8">
    <w:nsid w:val="4DF276C7"/>
    <w:multiLevelType w:val="multilevel"/>
    <w:tmpl w:val="05C6FEA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05479CD"/>
    <w:multiLevelType w:val="multilevel"/>
    <w:tmpl w:val="E174DB86"/>
    <w:lvl w:ilvl="0">
      <w:start w:val="2"/>
      <w:numFmt w:val="decimal"/>
      <w:lvlText w:val="%1"/>
      <w:lvlJc w:val="left"/>
      <w:pPr>
        <w:ind w:left="360" w:hanging="360"/>
      </w:pPr>
      <w:rPr>
        <w:rFonts w:cs="Times New Roman" w:hint="default"/>
      </w:rPr>
    </w:lvl>
    <w:lvl w:ilvl="1">
      <w:start w:val="2"/>
      <w:numFmt w:val="decimal"/>
      <w:lvlText w:val="%1.%2"/>
      <w:lvlJc w:val="left"/>
      <w:pPr>
        <w:ind w:left="587" w:hanging="360"/>
      </w:pPr>
      <w:rPr>
        <w:rFonts w:cs="Times New Roman" w:hint="default"/>
      </w:rPr>
    </w:lvl>
    <w:lvl w:ilvl="2">
      <w:start w:val="1"/>
      <w:numFmt w:val="decimal"/>
      <w:lvlText w:val="%1.%2.%3"/>
      <w:lvlJc w:val="left"/>
      <w:pPr>
        <w:ind w:left="1174" w:hanging="720"/>
      </w:pPr>
      <w:rPr>
        <w:rFonts w:cs="Times New Roman" w:hint="default"/>
      </w:rPr>
    </w:lvl>
    <w:lvl w:ilvl="3">
      <w:start w:val="1"/>
      <w:numFmt w:val="decimal"/>
      <w:lvlText w:val="%1.%2.%3.%4"/>
      <w:lvlJc w:val="left"/>
      <w:pPr>
        <w:ind w:left="1401" w:hanging="720"/>
      </w:pPr>
      <w:rPr>
        <w:rFonts w:cs="Times New Roman" w:hint="default"/>
      </w:rPr>
    </w:lvl>
    <w:lvl w:ilvl="4">
      <w:start w:val="1"/>
      <w:numFmt w:val="decimal"/>
      <w:lvlText w:val="%1.%2.%3.%4.%5"/>
      <w:lvlJc w:val="left"/>
      <w:pPr>
        <w:ind w:left="1988" w:hanging="1080"/>
      </w:pPr>
      <w:rPr>
        <w:rFonts w:cs="Times New Roman" w:hint="default"/>
      </w:rPr>
    </w:lvl>
    <w:lvl w:ilvl="5">
      <w:start w:val="1"/>
      <w:numFmt w:val="decimal"/>
      <w:lvlText w:val="%1.%2.%3.%4.%5.%6"/>
      <w:lvlJc w:val="left"/>
      <w:pPr>
        <w:ind w:left="2215" w:hanging="1080"/>
      </w:pPr>
      <w:rPr>
        <w:rFonts w:cs="Times New Roman" w:hint="default"/>
      </w:rPr>
    </w:lvl>
    <w:lvl w:ilvl="6">
      <w:start w:val="1"/>
      <w:numFmt w:val="decimal"/>
      <w:lvlText w:val="%1.%2.%3.%4.%5.%6.%7"/>
      <w:lvlJc w:val="left"/>
      <w:pPr>
        <w:ind w:left="2802" w:hanging="1440"/>
      </w:pPr>
      <w:rPr>
        <w:rFonts w:cs="Times New Roman" w:hint="default"/>
      </w:rPr>
    </w:lvl>
    <w:lvl w:ilvl="7">
      <w:start w:val="1"/>
      <w:numFmt w:val="decimal"/>
      <w:lvlText w:val="%1.%2.%3.%4.%5.%6.%7.%8"/>
      <w:lvlJc w:val="left"/>
      <w:pPr>
        <w:ind w:left="3029" w:hanging="1440"/>
      </w:pPr>
      <w:rPr>
        <w:rFonts w:cs="Times New Roman" w:hint="default"/>
      </w:rPr>
    </w:lvl>
    <w:lvl w:ilvl="8">
      <w:start w:val="1"/>
      <w:numFmt w:val="decimal"/>
      <w:lvlText w:val="%1.%2.%3.%4.%5.%6.%7.%8.%9"/>
      <w:lvlJc w:val="left"/>
      <w:pPr>
        <w:ind w:left="3616" w:hanging="1800"/>
      </w:pPr>
      <w:rPr>
        <w:rFonts w:cs="Times New Roman" w:hint="default"/>
      </w:rPr>
    </w:lvl>
  </w:abstractNum>
  <w:abstractNum w:abstractNumId="20">
    <w:nsid w:val="59A25451"/>
    <w:multiLevelType w:val="multilevel"/>
    <w:tmpl w:val="DDA0EC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B5A4883"/>
    <w:multiLevelType w:val="hybridMultilevel"/>
    <w:tmpl w:val="2B38589A"/>
    <w:lvl w:ilvl="0" w:tplc="0405000F">
      <w:start w:val="1"/>
      <w:numFmt w:val="decimal"/>
      <w:lvlText w:val="%1."/>
      <w:lvlJc w:val="left"/>
      <w:pPr>
        <w:ind w:left="1920" w:hanging="360"/>
      </w:pPr>
      <w:rPr>
        <w:rFonts w:cs="Times New Roman"/>
      </w:rPr>
    </w:lvl>
    <w:lvl w:ilvl="1" w:tplc="04050019">
      <w:start w:val="1"/>
      <w:numFmt w:val="lowerLetter"/>
      <w:lvlText w:val="%2."/>
      <w:lvlJc w:val="left"/>
      <w:pPr>
        <w:ind w:left="2640" w:hanging="360"/>
      </w:pPr>
      <w:rPr>
        <w:rFonts w:cs="Times New Roman"/>
      </w:rPr>
    </w:lvl>
    <w:lvl w:ilvl="2" w:tplc="0405001B" w:tentative="1">
      <w:start w:val="1"/>
      <w:numFmt w:val="lowerRoman"/>
      <w:lvlText w:val="%3."/>
      <w:lvlJc w:val="right"/>
      <w:pPr>
        <w:ind w:left="3360" w:hanging="180"/>
      </w:pPr>
      <w:rPr>
        <w:rFonts w:cs="Times New Roman"/>
      </w:rPr>
    </w:lvl>
    <w:lvl w:ilvl="3" w:tplc="0405000F" w:tentative="1">
      <w:start w:val="1"/>
      <w:numFmt w:val="decimal"/>
      <w:lvlText w:val="%4."/>
      <w:lvlJc w:val="left"/>
      <w:pPr>
        <w:ind w:left="4080" w:hanging="360"/>
      </w:pPr>
      <w:rPr>
        <w:rFonts w:cs="Times New Roman"/>
      </w:rPr>
    </w:lvl>
    <w:lvl w:ilvl="4" w:tplc="04050019" w:tentative="1">
      <w:start w:val="1"/>
      <w:numFmt w:val="lowerLetter"/>
      <w:lvlText w:val="%5."/>
      <w:lvlJc w:val="left"/>
      <w:pPr>
        <w:ind w:left="4800" w:hanging="360"/>
      </w:pPr>
      <w:rPr>
        <w:rFonts w:cs="Times New Roman"/>
      </w:rPr>
    </w:lvl>
    <w:lvl w:ilvl="5" w:tplc="0405001B" w:tentative="1">
      <w:start w:val="1"/>
      <w:numFmt w:val="lowerRoman"/>
      <w:lvlText w:val="%6."/>
      <w:lvlJc w:val="right"/>
      <w:pPr>
        <w:ind w:left="5520" w:hanging="180"/>
      </w:pPr>
      <w:rPr>
        <w:rFonts w:cs="Times New Roman"/>
      </w:rPr>
    </w:lvl>
    <w:lvl w:ilvl="6" w:tplc="0405000F" w:tentative="1">
      <w:start w:val="1"/>
      <w:numFmt w:val="decimal"/>
      <w:lvlText w:val="%7."/>
      <w:lvlJc w:val="left"/>
      <w:pPr>
        <w:ind w:left="6240" w:hanging="360"/>
      </w:pPr>
      <w:rPr>
        <w:rFonts w:cs="Times New Roman"/>
      </w:rPr>
    </w:lvl>
    <w:lvl w:ilvl="7" w:tplc="04050019" w:tentative="1">
      <w:start w:val="1"/>
      <w:numFmt w:val="lowerLetter"/>
      <w:lvlText w:val="%8."/>
      <w:lvlJc w:val="left"/>
      <w:pPr>
        <w:ind w:left="6960" w:hanging="360"/>
      </w:pPr>
      <w:rPr>
        <w:rFonts w:cs="Times New Roman"/>
      </w:rPr>
    </w:lvl>
    <w:lvl w:ilvl="8" w:tplc="0405001B" w:tentative="1">
      <w:start w:val="1"/>
      <w:numFmt w:val="lowerRoman"/>
      <w:lvlText w:val="%9."/>
      <w:lvlJc w:val="right"/>
      <w:pPr>
        <w:ind w:left="7680" w:hanging="180"/>
      </w:pPr>
      <w:rPr>
        <w:rFonts w:cs="Times New Roman"/>
      </w:rPr>
    </w:lvl>
  </w:abstractNum>
  <w:abstractNum w:abstractNumId="22">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7156353"/>
    <w:multiLevelType w:val="hybridMultilevel"/>
    <w:tmpl w:val="314A3838"/>
    <w:lvl w:ilvl="0" w:tplc="04050017">
      <w:start w:val="1"/>
      <w:numFmt w:val="lowerLetter"/>
      <w:lvlText w:val="%1)"/>
      <w:lvlJc w:val="left"/>
      <w:pPr>
        <w:ind w:left="2136" w:hanging="360"/>
      </w:pPr>
      <w:rPr>
        <w:rFonts w:cs="Times New Roman" w:hint="default"/>
      </w:rPr>
    </w:lvl>
    <w:lvl w:ilvl="1" w:tplc="04050003">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78DA0D02"/>
    <w:multiLevelType w:val="multilevel"/>
    <w:tmpl w:val="31E68BCA"/>
    <w:lvl w:ilvl="0">
      <w:start w:val="1"/>
      <w:numFmt w:val="decimal"/>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8"/>
  </w:num>
  <w:num w:numId="2">
    <w:abstractNumId w:val="1"/>
  </w:num>
  <w:num w:numId="3">
    <w:abstractNumId w:val="15"/>
  </w:num>
  <w:num w:numId="4">
    <w:abstractNumId w:val="16"/>
  </w:num>
  <w:num w:numId="5">
    <w:abstractNumId w:val="23"/>
  </w:num>
  <w:num w:numId="6">
    <w:abstractNumId w:val="7"/>
  </w:num>
  <w:num w:numId="7">
    <w:abstractNumId w:val="25"/>
  </w:num>
  <w:num w:numId="8">
    <w:abstractNumId w:val="5"/>
  </w:num>
  <w:num w:numId="9">
    <w:abstractNumId w:val="2"/>
  </w:num>
  <w:num w:numId="10">
    <w:abstractNumId w:val="14"/>
  </w:num>
  <w:num w:numId="11">
    <w:abstractNumId w:val="13"/>
  </w:num>
  <w:num w:numId="12">
    <w:abstractNumId w:val="22"/>
  </w:num>
  <w:num w:numId="13">
    <w:abstractNumId w:val="21"/>
  </w:num>
  <w:num w:numId="14">
    <w:abstractNumId w:val="11"/>
  </w:num>
  <w:num w:numId="15">
    <w:abstractNumId w:val="6"/>
  </w:num>
  <w:num w:numId="16">
    <w:abstractNumId w:val="17"/>
  </w:num>
  <w:num w:numId="17">
    <w:abstractNumId w:val="4"/>
  </w:num>
  <w:num w:numId="18">
    <w:abstractNumId w:val="0"/>
  </w:num>
  <w:num w:numId="19">
    <w:abstractNumId w:val="24"/>
  </w:num>
  <w:num w:numId="20">
    <w:abstractNumId w:val="10"/>
  </w:num>
  <w:num w:numId="21">
    <w:abstractNumId w:val="25"/>
  </w:num>
  <w:num w:numId="22">
    <w:abstractNumId w:val="19"/>
  </w:num>
  <w:num w:numId="23">
    <w:abstractNumId w:val="25"/>
    <w:lvlOverride w:ilvl="0">
      <w:startOverride w:val="2"/>
    </w:lvlOverride>
    <w:lvlOverride w:ilvl="1">
      <w:startOverride w:val="2"/>
    </w:lvlOverride>
  </w:num>
  <w:num w:numId="24">
    <w:abstractNumId w:val="25"/>
  </w:num>
  <w:num w:numId="25">
    <w:abstractNumId w:val="20"/>
  </w:num>
  <w:num w:numId="26">
    <w:abstractNumId w:val="12"/>
  </w:num>
  <w:num w:numId="27">
    <w:abstractNumId w:val="18"/>
  </w:num>
  <w:num w:numId="28">
    <w:abstractNumId w:val="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361"/>
    <w:rsid w:val="00013C56"/>
    <w:rsid w:val="00071829"/>
    <w:rsid w:val="00071B0F"/>
    <w:rsid w:val="00073928"/>
    <w:rsid w:val="00083369"/>
    <w:rsid w:val="000C57FE"/>
    <w:rsid w:val="000E7346"/>
    <w:rsid w:val="000F14B9"/>
    <w:rsid w:val="00154F64"/>
    <w:rsid w:val="00161A35"/>
    <w:rsid w:val="00163D64"/>
    <w:rsid w:val="001C0AC4"/>
    <w:rsid w:val="001D4F6D"/>
    <w:rsid w:val="00224C8D"/>
    <w:rsid w:val="00227F98"/>
    <w:rsid w:val="00257FD3"/>
    <w:rsid w:val="002869A0"/>
    <w:rsid w:val="00291776"/>
    <w:rsid w:val="002C290A"/>
    <w:rsid w:val="002E728C"/>
    <w:rsid w:val="002E79A2"/>
    <w:rsid w:val="002F73E9"/>
    <w:rsid w:val="00346F66"/>
    <w:rsid w:val="00362B3E"/>
    <w:rsid w:val="00386A3E"/>
    <w:rsid w:val="003954E0"/>
    <w:rsid w:val="00397361"/>
    <w:rsid w:val="003C6F4F"/>
    <w:rsid w:val="00406954"/>
    <w:rsid w:val="004104F5"/>
    <w:rsid w:val="00431507"/>
    <w:rsid w:val="004558E8"/>
    <w:rsid w:val="00461489"/>
    <w:rsid w:val="004823F7"/>
    <w:rsid w:val="004C3653"/>
    <w:rsid w:val="004E3737"/>
    <w:rsid w:val="0050646D"/>
    <w:rsid w:val="00525526"/>
    <w:rsid w:val="00550F82"/>
    <w:rsid w:val="00560E75"/>
    <w:rsid w:val="00575135"/>
    <w:rsid w:val="005A5F55"/>
    <w:rsid w:val="005C62D7"/>
    <w:rsid w:val="005D6C8F"/>
    <w:rsid w:val="00622A41"/>
    <w:rsid w:val="006276C2"/>
    <w:rsid w:val="0063344C"/>
    <w:rsid w:val="006346E0"/>
    <w:rsid w:val="0068741A"/>
    <w:rsid w:val="006A6A44"/>
    <w:rsid w:val="00713829"/>
    <w:rsid w:val="00714DC1"/>
    <w:rsid w:val="007447E4"/>
    <w:rsid w:val="00760549"/>
    <w:rsid w:val="00763295"/>
    <w:rsid w:val="007A05D5"/>
    <w:rsid w:val="007B1DFA"/>
    <w:rsid w:val="007C0ACA"/>
    <w:rsid w:val="007F4452"/>
    <w:rsid w:val="00804AD6"/>
    <w:rsid w:val="008177FA"/>
    <w:rsid w:val="00817C5A"/>
    <w:rsid w:val="008211E2"/>
    <w:rsid w:val="00845FB4"/>
    <w:rsid w:val="008B4698"/>
    <w:rsid w:val="008C6BD5"/>
    <w:rsid w:val="008D10E4"/>
    <w:rsid w:val="009170E8"/>
    <w:rsid w:val="00923F51"/>
    <w:rsid w:val="00994898"/>
    <w:rsid w:val="009D4985"/>
    <w:rsid w:val="009E126B"/>
    <w:rsid w:val="009F24D6"/>
    <w:rsid w:val="00A1477B"/>
    <w:rsid w:val="00A17FCC"/>
    <w:rsid w:val="00A204C5"/>
    <w:rsid w:val="00A21B07"/>
    <w:rsid w:val="00A4303C"/>
    <w:rsid w:val="00A44220"/>
    <w:rsid w:val="00A65019"/>
    <w:rsid w:val="00A74641"/>
    <w:rsid w:val="00A917CD"/>
    <w:rsid w:val="00A943E6"/>
    <w:rsid w:val="00AC4498"/>
    <w:rsid w:val="00AF03E7"/>
    <w:rsid w:val="00B21D06"/>
    <w:rsid w:val="00B2336D"/>
    <w:rsid w:val="00B337FA"/>
    <w:rsid w:val="00B3495C"/>
    <w:rsid w:val="00B6176D"/>
    <w:rsid w:val="00B902D9"/>
    <w:rsid w:val="00B92168"/>
    <w:rsid w:val="00BA109B"/>
    <w:rsid w:val="00BA2A7C"/>
    <w:rsid w:val="00BE19B7"/>
    <w:rsid w:val="00BF437A"/>
    <w:rsid w:val="00C43ED5"/>
    <w:rsid w:val="00C8092F"/>
    <w:rsid w:val="00C8279C"/>
    <w:rsid w:val="00CC7CF4"/>
    <w:rsid w:val="00D0265A"/>
    <w:rsid w:val="00D15AAB"/>
    <w:rsid w:val="00D26759"/>
    <w:rsid w:val="00D60C3E"/>
    <w:rsid w:val="00D6109E"/>
    <w:rsid w:val="00DD4355"/>
    <w:rsid w:val="00E11768"/>
    <w:rsid w:val="00E25CC3"/>
    <w:rsid w:val="00E426CB"/>
    <w:rsid w:val="00E478FC"/>
    <w:rsid w:val="00E712DF"/>
    <w:rsid w:val="00E742BE"/>
    <w:rsid w:val="00E83FC2"/>
    <w:rsid w:val="00E869A6"/>
    <w:rsid w:val="00E872D4"/>
    <w:rsid w:val="00ED430C"/>
    <w:rsid w:val="00EF0DD2"/>
    <w:rsid w:val="00F1797E"/>
    <w:rsid w:val="00F3350A"/>
    <w:rsid w:val="00F91254"/>
    <w:rsid w:val="00FA0E7A"/>
    <w:rsid w:val="00FA147D"/>
    <w:rsid w:val="00FB6B2C"/>
    <w:rsid w:val="00FD015E"/>
    <w:rsid w:val="00FF2E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A2"/>
    <w:pPr>
      <w:spacing w:after="120" w:line="360" w:lineRule="auto"/>
      <w:ind w:left="708"/>
      <w:jc w:val="both"/>
    </w:pPr>
    <w:rPr>
      <w:rFonts w:ascii="Arial" w:hAnsi="Arial" w:cs="Arial"/>
      <w:lang w:eastAsia="en-US"/>
    </w:rPr>
  </w:style>
  <w:style w:type="paragraph" w:styleId="Heading1">
    <w:name w:val="heading 1"/>
    <w:basedOn w:val="ListParagraph"/>
    <w:next w:val="Normal"/>
    <w:link w:val="Heading1Char"/>
    <w:uiPriority w:val="99"/>
    <w:qFormat/>
    <w:rsid w:val="002E79A2"/>
    <w:pPr>
      <w:numPr>
        <w:numId w:val="1"/>
      </w:numPr>
      <w:spacing w:before="360"/>
      <w:ind w:left="357" w:hanging="357"/>
      <w:contextualSpacing w:val="0"/>
      <w:outlineLvl w:val="0"/>
    </w:pPr>
    <w:rPr>
      <w:b/>
    </w:rPr>
  </w:style>
  <w:style w:type="paragraph" w:styleId="Heading2">
    <w:name w:val="heading 2"/>
    <w:basedOn w:val="ListParagraph"/>
    <w:next w:val="Normal"/>
    <w:link w:val="Heading2Char"/>
    <w:uiPriority w:val="99"/>
    <w:qFormat/>
    <w:rsid w:val="002E79A2"/>
    <w:pPr>
      <w:numPr>
        <w:ilvl w:val="1"/>
        <w:numId w:val="7"/>
      </w:numPr>
      <w:outlineLvl w:val="1"/>
    </w:pPr>
  </w:style>
  <w:style w:type="paragraph" w:styleId="Heading8">
    <w:name w:val="heading 8"/>
    <w:basedOn w:val="Normal"/>
    <w:next w:val="Normal"/>
    <w:link w:val="Heading8Char"/>
    <w:uiPriority w:val="99"/>
    <w:qFormat/>
    <w:rsid w:val="00397361"/>
    <w:pPr>
      <w:keepNext/>
      <w:spacing w:line="240" w:lineRule="auto"/>
      <w:ind w:right="91"/>
      <w:jc w:val="center"/>
      <w:outlineLvl w:val="7"/>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9A2"/>
    <w:rPr>
      <w:rFonts w:ascii="Arial" w:hAnsi="Arial" w:cs="Arial"/>
      <w:b/>
    </w:rPr>
  </w:style>
  <w:style w:type="character" w:customStyle="1" w:styleId="Heading2Char">
    <w:name w:val="Heading 2 Char"/>
    <w:basedOn w:val="DefaultParagraphFont"/>
    <w:link w:val="Heading2"/>
    <w:uiPriority w:val="99"/>
    <w:locked/>
    <w:rsid w:val="002E79A2"/>
    <w:rPr>
      <w:rFonts w:ascii="Arial" w:hAnsi="Arial" w:cs="Arial"/>
    </w:rPr>
  </w:style>
  <w:style w:type="character" w:customStyle="1" w:styleId="Heading8Char">
    <w:name w:val="Heading 8 Char"/>
    <w:basedOn w:val="DefaultParagraphFont"/>
    <w:link w:val="Heading8"/>
    <w:uiPriority w:val="99"/>
    <w:locked/>
    <w:rsid w:val="00397361"/>
    <w:rPr>
      <w:rFonts w:ascii="Arial" w:hAnsi="Arial" w:cs="Times New Roman"/>
      <w:b/>
      <w:sz w:val="20"/>
      <w:szCs w:val="20"/>
    </w:rPr>
  </w:style>
  <w:style w:type="paragraph" w:styleId="ListParagraph">
    <w:name w:val="List Paragraph"/>
    <w:basedOn w:val="Normal"/>
    <w:uiPriority w:val="99"/>
    <w:qFormat/>
    <w:rsid w:val="00397361"/>
    <w:pPr>
      <w:ind w:left="720"/>
      <w:contextualSpacing/>
    </w:pPr>
  </w:style>
  <w:style w:type="character" w:styleId="Hyperlink">
    <w:name w:val="Hyperlink"/>
    <w:basedOn w:val="DefaultParagraphFont"/>
    <w:uiPriority w:val="99"/>
    <w:rsid w:val="00397361"/>
    <w:rPr>
      <w:rFonts w:cs="Times New Roman"/>
      <w:color w:val="0000FF"/>
      <w:u w:val="single"/>
    </w:rPr>
  </w:style>
  <w:style w:type="paragraph" w:styleId="Header">
    <w:name w:val="header"/>
    <w:basedOn w:val="Normal"/>
    <w:link w:val="HeaderChar"/>
    <w:uiPriority w:val="99"/>
    <w:rsid w:val="0039736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97361"/>
    <w:rPr>
      <w:rFonts w:ascii="Calibri" w:hAnsi="Calibri" w:cs="Times New Roman"/>
    </w:rPr>
  </w:style>
  <w:style w:type="paragraph" w:styleId="Footer">
    <w:name w:val="footer"/>
    <w:basedOn w:val="Normal"/>
    <w:link w:val="FooterChar"/>
    <w:uiPriority w:val="99"/>
    <w:rsid w:val="0039736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97361"/>
    <w:rPr>
      <w:rFonts w:ascii="Calibri" w:hAnsi="Calibri" w:cs="Times New Roman"/>
    </w:rPr>
  </w:style>
  <w:style w:type="paragraph" w:customStyle="1" w:styleId="Normal1">
    <w:name w:val="Normal1"/>
    <w:basedOn w:val="Normal"/>
    <w:uiPriority w:val="99"/>
    <w:rsid w:val="00397361"/>
    <w:pPr>
      <w:spacing w:before="120" w:line="240" w:lineRule="auto"/>
    </w:pPr>
    <w:rPr>
      <w:szCs w:val="20"/>
    </w:rPr>
  </w:style>
  <w:style w:type="table" w:styleId="TableGrid">
    <w:name w:val="Table Grid"/>
    <w:basedOn w:val="TableNormal"/>
    <w:uiPriority w:val="99"/>
    <w:rsid w:val="003973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97361"/>
    <w:rPr>
      <w:rFonts w:cs="Times New Roman"/>
      <w:sz w:val="16"/>
      <w:szCs w:val="16"/>
    </w:rPr>
  </w:style>
  <w:style w:type="paragraph" w:styleId="CommentText">
    <w:name w:val="annotation text"/>
    <w:basedOn w:val="Normal"/>
    <w:link w:val="CommentTextChar"/>
    <w:uiPriority w:val="99"/>
    <w:semiHidden/>
    <w:rsid w:val="003973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736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97361"/>
    <w:rPr>
      <w:b/>
      <w:bCs/>
    </w:rPr>
  </w:style>
  <w:style w:type="character" w:customStyle="1" w:styleId="CommentSubjectChar">
    <w:name w:val="Comment Subject Char"/>
    <w:basedOn w:val="CommentTextChar"/>
    <w:link w:val="CommentSubject"/>
    <w:uiPriority w:val="99"/>
    <w:semiHidden/>
    <w:locked/>
    <w:rsid w:val="00397361"/>
    <w:rPr>
      <w:b/>
      <w:bCs/>
    </w:rPr>
  </w:style>
  <w:style w:type="paragraph" w:styleId="Revision">
    <w:name w:val="Revision"/>
    <w:hidden/>
    <w:uiPriority w:val="99"/>
    <w:semiHidden/>
    <w:rsid w:val="00397361"/>
    <w:rPr>
      <w:lang w:eastAsia="en-US"/>
    </w:rPr>
  </w:style>
  <w:style w:type="paragraph" w:styleId="BalloonText">
    <w:name w:val="Balloon Text"/>
    <w:basedOn w:val="Normal"/>
    <w:link w:val="BalloonTextChar"/>
    <w:uiPriority w:val="99"/>
    <w:semiHidden/>
    <w:rsid w:val="0039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361"/>
    <w:rPr>
      <w:rFonts w:ascii="Tahoma" w:hAnsi="Tahoma" w:cs="Tahoma"/>
      <w:sz w:val="16"/>
      <w:szCs w:val="16"/>
    </w:rPr>
  </w:style>
  <w:style w:type="paragraph" w:styleId="NoSpacing">
    <w:name w:val="No Spacing"/>
    <w:uiPriority w:val="99"/>
    <w:qFormat/>
    <w:rsid w:val="00B337FA"/>
    <w:pPr>
      <w:autoSpaceDE w:val="0"/>
      <w:autoSpaceDN w:val="0"/>
      <w:adjustRightInd w:val="0"/>
      <w:jc w:val="both"/>
    </w:pPr>
    <w:rPr>
      <w:rFonts w:cs="Calibri"/>
      <w:color w:val="000000"/>
      <w:lang w:eastAsia="en-US"/>
    </w:rPr>
  </w:style>
  <w:style w:type="paragraph" w:customStyle="1" w:styleId="Odstavecseseznamem1">
    <w:name w:val="Odstavec se seznamem1"/>
    <w:basedOn w:val="Normal"/>
    <w:uiPriority w:val="99"/>
    <w:rsid w:val="00CC7CF4"/>
    <w:pPr>
      <w:spacing w:after="0" w:line="240" w:lineRule="auto"/>
      <w:ind w:left="720"/>
      <w:contextualSpacing/>
    </w:pPr>
    <w:rPr>
      <w:rFonts w:ascii="Times New Roman" w:hAnsi="Times New Roman"/>
      <w:sz w:val="24"/>
      <w:szCs w:val="24"/>
      <w:lang w:val="en-US"/>
    </w:rPr>
  </w:style>
  <w:style w:type="paragraph" w:customStyle="1" w:styleId="ClanekC">
    <w:name w:val="ClanekC"/>
    <w:uiPriority w:val="99"/>
    <w:rsid w:val="00CC7CF4"/>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FootnoteText">
    <w:name w:val="footnote text"/>
    <w:basedOn w:val="Normal"/>
    <w:link w:val="FootnoteTextChar"/>
    <w:uiPriority w:val="99"/>
    <w:semiHidden/>
    <w:rsid w:val="007447E4"/>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7447E4"/>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7447E4"/>
    <w:rPr>
      <w:rFonts w:cs="Times New Roman"/>
      <w:vertAlign w:val="superscript"/>
    </w:rPr>
  </w:style>
  <w:style w:type="paragraph" w:styleId="Title">
    <w:name w:val="Title"/>
    <w:basedOn w:val="Heading8"/>
    <w:next w:val="Normal"/>
    <w:link w:val="TitleChar"/>
    <w:uiPriority w:val="99"/>
    <w:qFormat/>
    <w:rsid w:val="006A6A44"/>
    <w:rPr>
      <w:sz w:val="52"/>
      <w:szCs w:val="52"/>
    </w:rPr>
  </w:style>
  <w:style w:type="character" w:customStyle="1" w:styleId="TitleChar">
    <w:name w:val="Title Char"/>
    <w:basedOn w:val="DefaultParagraphFont"/>
    <w:link w:val="Title"/>
    <w:uiPriority w:val="99"/>
    <w:locked/>
    <w:rsid w:val="006A6A44"/>
    <w:rPr>
      <w:rFonts w:ascii="Arial" w:hAnsi="Arial" w:cs="Arial"/>
      <w:b/>
      <w:sz w:val="52"/>
      <w:szCs w:val="52"/>
    </w:rPr>
  </w:style>
  <w:style w:type="paragraph" w:styleId="Caption">
    <w:name w:val="caption"/>
    <w:basedOn w:val="Normal"/>
    <w:next w:val="Normal"/>
    <w:uiPriority w:val="99"/>
    <w:qFormat/>
    <w:rsid w:val="00E478FC"/>
    <w:pPr>
      <w:autoSpaceDE w:val="0"/>
      <w:autoSpaceDN w:val="0"/>
      <w:adjustRightInd w:val="0"/>
      <w:spacing w:after="200" w:line="240" w:lineRule="auto"/>
      <w:ind w:left="0"/>
    </w:pPr>
    <w:rPr>
      <w:rFonts w:ascii="Calibri" w:hAnsi="Calibri" w:cs="Calibri"/>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633710742">
      <w:marLeft w:val="0"/>
      <w:marRight w:val="0"/>
      <w:marTop w:val="0"/>
      <w:marBottom w:val="0"/>
      <w:divBdr>
        <w:top w:val="none" w:sz="0" w:space="0" w:color="auto"/>
        <w:left w:val="none" w:sz="0" w:space="0" w:color="auto"/>
        <w:bottom w:val="none" w:sz="0" w:space="0" w:color="auto"/>
        <w:right w:val="none" w:sz="0" w:space="0" w:color="auto"/>
      </w:divBdr>
    </w:div>
    <w:div w:id="1633710743">
      <w:marLeft w:val="0"/>
      <w:marRight w:val="0"/>
      <w:marTop w:val="0"/>
      <w:marBottom w:val="0"/>
      <w:divBdr>
        <w:top w:val="none" w:sz="0" w:space="0" w:color="auto"/>
        <w:left w:val="none" w:sz="0" w:space="0" w:color="auto"/>
        <w:bottom w:val="none" w:sz="0" w:space="0" w:color="auto"/>
        <w:right w:val="none" w:sz="0" w:space="0" w:color="auto"/>
      </w:divBdr>
    </w:div>
    <w:div w:id="163371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13</Pages>
  <Words>3230</Words>
  <Characters>19061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cp:lastPrinted>2018-02-26T11:25:00Z</cp:lastPrinted>
  <dcterms:created xsi:type="dcterms:W3CDTF">2017-03-22T09:53:00Z</dcterms:created>
  <dcterms:modified xsi:type="dcterms:W3CDTF">2018-03-02T09:10:00Z</dcterms:modified>
</cp:coreProperties>
</file>