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/>
          <w:b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KUPNÍ SMLOUVA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  <w:b/>
          <w:sz w:val="32"/>
          <w:szCs w:val="32"/>
        </w:rPr>
        <w:t>O DODÁVCE KANCELÁŘSKÝCH POTŘEB</w:t>
      </w:r>
    </w:p>
    <w:p>
      <w:pPr>
        <w:pStyle w:val="Tlotextu"/>
        <w:tabs>
          <w:tab w:val="left" w:pos="2268" w:leader="none"/>
        </w:tabs>
        <w:jc w:val="center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uzavřená podle § 2079 a násl. zákona č. 89/2012 Sb., občanský zákoník</w:t>
      </w:r>
    </w:p>
    <w:p>
      <w:pPr>
        <w:pStyle w:val="Tlotextu"/>
        <w:tabs>
          <w:tab w:val="left" w:pos="2268" w:leader="none"/>
        </w:tabs>
        <w:spacing w:before="360" w:after="360"/>
        <w:jc w:val="right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ČESKÁ REPUBLIKA – organizační složka NÁRODNÍ BEZPEČNOSTNÍ ÚŘAD</w:t>
      </w:r>
    </w:p>
    <w:p>
      <w:pPr>
        <w:pStyle w:val="Normal"/>
        <w:spacing w:before="0" w:after="120"/>
        <w:jc w:val="both"/>
        <w:rPr/>
      </w:pPr>
      <w:r>
        <w:rPr>
          <w:sz w:val="24"/>
          <w:szCs w:val="24"/>
        </w:rPr>
        <w:t>se sídlem Na Popelce 2/16, 150 06  Praha 5, Košíře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sz w:val="24"/>
          <w:szCs w:val="24"/>
        </w:rPr>
        <w:t>IČ: 68403569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sz w:val="24"/>
          <w:szCs w:val="24"/>
        </w:rPr>
        <w:t>Datová schránka: h93aayw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sz w:val="24"/>
          <w:szCs w:val="24"/>
        </w:rPr>
        <w:t>Bankovní spojení: Česká národní banka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sz w:val="24"/>
          <w:szCs w:val="24"/>
        </w:rPr>
        <w:t>Číslo účtu: 105881/0710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Číslo smlouvy: </w:t>
      </w:r>
    </w:p>
    <w:p>
      <w:pPr>
        <w:pStyle w:val="Normal"/>
        <w:jc w:val="both"/>
        <w:rPr>
          <w:rFonts w:cs="Calibri"/>
        </w:rPr>
      </w:pPr>
      <w:r>
        <w:rPr>
          <w:rFonts w:cs="Calibri"/>
          <w:sz w:val="24"/>
          <w:szCs w:val="24"/>
        </w:rPr>
        <w:t>jehož jménem jedná JUDr. Zdeňka Jůzlová, náměstkyně ředitele Národního bezpečnostního úřad</w:t>
      </w:r>
    </w:p>
    <w:p>
      <w:pPr>
        <w:pStyle w:val="Normal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dále jako „kupující“</w:t>
      </w:r>
    </w:p>
    <w:p>
      <w:pPr>
        <w:pStyle w:val="Normal"/>
        <w:spacing w:lineRule="auto" w:line="240" w:before="0" w:after="0"/>
        <w:jc w:val="both"/>
        <w:rPr>
          <w:color w:val="00000A"/>
          <w:sz w:val="22"/>
          <w:szCs w:val="22"/>
          <w:lang w:eastAsia="en-US"/>
        </w:rPr>
      </w:pPr>
      <w:r>
        <w:rPr>
          <w:color w:val="00000A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jc w:val="both"/>
        <w:rPr>
          <w:color w:val="00000A"/>
          <w:sz w:val="22"/>
          <w:szCs w:val="22"/>
          <w:lang w:eastAsia="en-US"/>
        </w:rPr>
      </w:pPr>
      <w:r>
        <w:rPr>
          <w:color w:val="00000A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240" w:after="0"/>
        <w:jc w:val="both"/>
        <w:rPr>
          <w:color w:val="00000A"/>
          <w:sz w:val="22"/>
          <w:szCs w:val="22"/>
          <w:lang w:eastAsia="en-US"/>
        </w:rPr>
      </w:pPr>
      <w:r>
        <w:rPr>
          <w:color w:val="00000A"/>
          <w:sz w:val="22"/>
          <w:szCs w:val="22"/>
          <w:lang w:eastAsia="en-US"/>
        </w:rPr>
      </w:r>
    </w:p>
    <w:p>
      <w:pPr>
        <w:pStyle w:val="Normal"/>
        <w:spacing w:lineRule="auto" w:line="360" w:before="24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  <w:shd w:fill="FFFF00" w:val="clear"/>
        </w:rPr>
        <w:t>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sídlem: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IČ: </w:t>
      </w:r>
      <w:r>
        <w:rPr>
          <w:rFonts w:cs="Calibri"/>
          <w:sz w:val="24"/>
          <w:szCs w:val="24"/>
          <w:shd w:fill="FFFF00" w:val="clear"/>
        </w:rPr>
        <w:t>...............</w:t>
      </w:r>
      <w:r>
        <w:rPr>
          <w:rFonts w:cs="Calibri"/>
          <w:sz w:val="24"/>
          <w:szCs w:val="24"/>
        </w:rPr>
        <w:t xml:space="preserve">              DIČ: CZ </w:t>
      </w:r>
      <w:r>
        <w:rPr>
          <w:rFonts w:cs="Calibri"/>
          <w:sz w:val="24"/>
          <w:szCs w:val="24"/>
          <w:shd w:fill="FFFF00" w:val="clear"/>
        </w:rPr>
        <w:t>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zapsaná </w:t>
      </w:r>
      <w:r>
        <w:rPr>
          <w:rFonts w:cs="Calibri"/>
          <w:bCs/>
          <w:sz w:val="24"/>
          <w:szCs w:val="24"/>
        </w:rPr>
        <w:t xml:space="preserve">ve veřejném </w:t>
      </w:r>
      <w:r>
        <w:rPr>
          <w:rFonts w:cs="Calibri"/>
          <w:sz w:val="24"/>
          <w:szCs w:val="24"/>
        </w:rPr>
        <w:t xml:space="preserve">rejstříku u </w:t>
      </w:r>
      <w:r>
        <w:rPr>
          <w:rFonts w:cs="Calibri"/>
          <w:sz w:val="24"/>
          <w:szCs w:val="24"/>
          <w:shd w:fill="FFFF00" w:val="clear"/>
        </w:rPr>
        <w:t>......................................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t xml:space="preserve">spisová značka </w:t>
      </w:r>
      <w:r>
        <w:rPr>
          <w:rFonts w:cs="Calibri"/>
          <w:bCs/>
          <w:sz w:val="24"/>
          <w:szCs w:val="24"/>
          <w:shd w:fill="FFFF00" w:val="clear"/>
        </w:rPr>
        <w:t>..........</w:t>
      </w:r>
    </w:p>
    <w:p>
      <w:pPr>
        <w:pStyle w:val="Normal"/>
        <w:spacing w:lineRule="auto" w:line="360" w:before="0"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jejímž jménem jedná: </w:t>
      </w:r>
      <w:r>
        <w:rPr>
          <w:rFonts w:cs="Calibri"/>
          <w:sz w:val="24"/>
          <w:szCs w:val="24"/>
          <w:shd w:fill="FFFF00" w:val="clear"/>
        </w:rPr>
        <w:t>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bankovní spojení: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  <w:r>
        <w:rPr>
          <w:rFonts w:cs="Calibri"/>
          <w:sz w:val="24"/>
          <w:szCs w:val="24"/>
        </w:rPr>
        <w:t xml:space="preserve">, účet č.: </w:t>
      </w:r>
      <w:r>
        <w:rPr>
          <w:rFonts w:cs="Calibri"/>
          <w:sz w:val="24"/>
          <w:szCs w:val="24"/>
          <w:shd w:fill="FFFF00" w:val="clear"/>
        </w:rPr>
        <w:t>...............................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kontaktní osoba: 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(dále jen „</w:t>
      </w:r>
      <w:r>
        <w:rPr>
          <w:rFonts w:cs="Calibri"/>
          <w:b/>
          <w:sz w:val="24"/>
          <w:szCs w:val="24"/>
        </w:rPr>
        <w:t>prodávající</w:t>
      </w:r>
      <w:r>
        <w:rPr>
          <w:rFonts w:cs="Calibri"/>
          <w:sz w:val="24"/>
          <w:szCs w:val="24"/>
        </w:rPr>
        <w:t>“)</w:t>
      </w:r>
    </w:p>
    <w:p>
      <w:pPr>
        <w:pStyle w:val="Normal"/>
        <w:spacing w:lineRule="auto" w:line="360" w:before="0" w:after="0"/>
        <w:jc w:val="both"/>
        <w:rPr>
          <w:rFonts w:cs="Calibri"/>
          <w:color w:val="00000A"/>
          <w:sz w:val="24"/>
          <w:szCs w:val="24"/>
          <w:lang w:eastAsia="en-US"/>
        </w:rPr>
      </w:pPr>
      <w:r>
        <w:rPr>
          <w:rFonts w:cs="Calibri"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uzavírají níže uvedeného dne, měsíce a roku tuto kupní smlouvu.  </w:t>
      </w:r>
    </w:p>
    <w:p>
      <w:pPr>
        <w:pStyle w:val="Lnky"/>
        <w:rPr/>
      </w:pPr>
      <w:r>
        <w:rPr/>
      </w:r>
    </w:p>
    <w:p>
      <w:pPr>
        <w:pStyle w:val="Lnky"/>
        <w:rPr/>
      </w:pPr>
      <w:r>
        <w:rPr/>
      </w:r>
    </w:p>
    <w:p>
      <w:pPr>
        <w:pStyle w:val="Lnky"/>
        <w:rPr>
          <w:rFonts w:ascii="Times New Roman" w:hAnsi="Times New Roman"/>
          <w:b/>
          <w:b/>
          <w:color w:val="00000A"/>
          <w:sz w:val="24"/>
          <w:szCs w:val="24"/>
          <w:lang w:eastAsia="cs-CZ"/>
        </w:rPr>
      </w:pPr>
      <w:r>
        <w:rPr>
          <w:b/>
          <w:color w:val="00000A"/>
          <w:sz w:val="24"/>
          <w:szCs w:val="24"/>
          <w:lang w:eastAsia="cs-CZ"/>
        </w:rPr>
      </w:r>
    </w:p>
    <w:p>
      <w:pPr>
        <w:pStyle w:val="Lnky"/>
        <w:rPr/>
      </w:pPr>
      <w:r>
        <w:rPr>
          <w:rFonts w:cs="Calibri" w:ascii="Calibri" w:hAnsi="Calibri"/>
        </w:rPr>
        <w:t>I.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Úvodní ustanovení</w:t>
      </w:r>
    </w:p>
    <w:p>
      <w:pPr>
        <w:pStyle w:val="Normodsaz"/>
        <w:spacing w:before="0" w:after="0"/>
        <w:ind w:firstLine="397"/>
        <w:rPr/>
      </w:pPr>
      <w:r>
        <w:rPr>
          <w:rFonts w:cs="Calibri" w:ascii="Calibri" w:hAnsi="Calibri"/>
        </w:rPr>
        <w:t>Plnění této smlouvy je veřejnou zakázkou malého rozsahu dle § 12 odst. 3 zákona č. 137/2006 Sb., o veřejných zakázkách, ve znění pozdějších předpisů (dále jen „zákon“). Smlouva je uzavírána v souladu s nabídkou prodávajícího a rozhodnutím kupujícího jako zadavatele o výběru nejvhodnější nabídky z elektronického tržiště GEMIN systémové číslo..............   vyhodnocené dne ................. .</w:t>
      </w:r>
    </w:p>
    <w:p>
      <w:pPr>
        <w:pStyle w:val="Normodsaz"/>
        <w:spacing w:before="0" w:after="0"/>
        <w:ind w:firstLine="397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nky"/>
        <w:rPr>
          <w:rFonts w:ascii="Calibri" w:hAnsi="Calibri" w:cs="Calibri"/>
        </w:rPr>
      </w:pPr>
      <w:r>
        <w:rPr>
          <w:rFonts w:cs="Calibri" w:ascii="Calibri" w:hAnsi="Calibri"/>
        </w:rPr>
        <w:t>II.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Předmět smlouvy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>Předmětem této smlouvy je závazek prodávajícího dodat kupujícímu kancelářské potřeby dle specifikace uvedené v nabídce „Kancelářské potřeby pro rok 2015“ , která je nedílnou součástí této smlouvy a závazek kupujícího řádně dodané zboží převzít a zaplatit za něj prodejní sjednanou cenu.</w:t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</w:r>
    </w:p>
    <w:p>
      <w:pPr>
        <w:pStyle w:val="Lnky"/>
        <w:rPr/>
      </w:pPr>
      <w:r>
        <w:rPr>
          <w:rFonts w:cs="Calibri" w:ascii="Calibri" w:hAnsi="Calibri"/>
        </w:rPr>
        <w:t>III.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Místo plnění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ČESKÁ REPUBLIKA – organizační složka NÁRODNÍ BEZPEČNOSTNÍ ÚŘAD</w:t>
      </w:r>
    </w:p>
    <w:p>
      <w:pPr>
        <w:pStyle w:val="Normal"/>
        <w:widowControl w:val="false"/>
        <w:spacing w:lineRule="auto" w:line="240" w:before="0" w:after="120"/>
        <w:jc w:val="both"/>
        <w:rPr>
          <w:rFonts w:cs="Calibri"/>
        </w:rPr>
      </w:pPr>
      <w:r>
        <w:rPr>
          <w:rFonts w:cs="Calibri"/>
          <w:sz w:val="24"/>
          <w:szCs w:val="24"/>
          <w:lang w:eastAsia="cs-CZ"/>
        </w:rPr>
        <w:t>se sídlem Na Popelce 2/16, 150 06  Praha 5, Košíře</w:t>
      </w:r>
    </w:p>
    <w:p>
      <w:pPr>
        <w:pStyle w:val="Lnky"/>
        <w:rPr/>
      </w:pPr>
      <w:r>
        <w:rPr/>
      </w:r>
    </w:p>
    <w:p>
      <w:pPr>
        <w:pStyle w:val="Lnky"/>
        <w:rPr>
          <w:rFonts w:ascii="Calibri" w:hAnsi="Calibri" w:cs="Calibri"/>
        </w:rPr>
      </w:pPr>
      <w:r>
        <w:rPr>
          <w:rFonts w:cs="Calibri" w:ascii="Calibri" w:hAnsi="Calibri"/>
        </w:rPr>
        <w:t>IV.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Cena a platební podmínky</w:t>
      </w:r>
    </w:p>
    <w:p>
      <w:pPr>
        <w:pStyle w:val="Normodsaz"/>
        <w:numPr>
          <w:ilvl w:val="0"/>
          <w:numId w:val="2"/>
        </w:numPr>
        <w:ind w:left="284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Celková kupní cena činí </w:t>
      </w:r>
      <w:r>
        <w:rPr>
          <w:rFonts w:cs="Calibri" w:ascii="Calibri" w:hAnsi="Calibri"/>
          <w:shd w:fill="FFFF00" w:val="clear"/>
        </w:rPr>
        <w:t>...................</w:t>
      </w:r>
      <w:r>
        <w:rPr>
          <w:rFonts w:cs="Calibri" w:ascii="Calibri" w:hAnsi="Calibri"/>
        </w:rPr>
        <w:t xml:space="preserve"> Kč bez DPH, tj. </w:t>
      </w:r>
      <w:r>
        <w:rPr>
          <w:rFonts w:cs="Calibri" w:ascii="Calibri" w:hAnsi="Calibri"/>
          <w:shd w:fill="FFFF00" w:val="clear"/>
        </w:rPr>
        <w:t>...................</w:t>
      </w:r>
      <w:r>
        <w:rPr>
          <w:rFonts w:cs="Calibri" w:ascii="Calibri" w:hAnsi="Calibri"/>
        </w:rPr>
        <w:t xml:space="preserve"> Kč vč. DPH, DPH </w:t>
      </w:r>
      <w:r>
        <w:rPr>
          <w:rFonts w:cs="Calibri" w:ascii="Calibri" w:hAnsi="Calibri"/>
          <w:shd w:fill="FFFF00" w:val="clear"/>
        </w:rPr>
        <w:t>......</w:t>
      </w:r>
      <w:r>
        <w:rPr>
          <w:rFonts w:cs="Calibri" w:ascii="Calibri" w:hAnsi="Calibri"/>
        </w:rPr>
        <w:t xml:space="preserve"> % činí </w:t>
      </w:r>
      <w:r>
        <w:rPr>
          <w:rFonts w:cs="Calibri" w:ascii="Calibri" w:hAnsi="Calibri"/>
          <w:shd w:fill="FFFF00" w:val="clear"/>
        </w:rPr>
        <w:t>..........</w:t>
      </w:r>
      <w:r>
        <w:rPr>
          <w:rFonts w:cs="Calibri" w:ascii="Calibri" w:hAnsi="Calibri"/>
        </w:rPr>
        <w:t xml:space="preserve"> Kč.</w:t>
      </w:r>
    </w:p>
    <w:p>
      <w:pPr>
        <w:pStyle w:val="Normodsaz"/>
        <w:numPr>
          <w:ilvl w:val="0"/>
          <w:numId w:val="2"/>
        </w:numPr>
        <w:ind w:left="284" w:hanging="284"/>
        <w:rPr>
          <w:rFonts w:ascii="Calibri" w:hAnsi="Calibri" w:cs="Calibri"/>
        </w:rPr>
      </w:pPr>
      <w:r>
        <w:rPr>
          <w:rFonts w:cs="Calibri" w:ascii="Calibri" w:hAnsi="Calibri"/>
        </w:rPr>
        <w:t xml:space="preserve">Kupní cena zahrnuje veškeré náklady prodávajícího nutné nebo související s řádným plněním předmětu této smlouvy včetně dopravy do místa plnění. </w:t>
      </w:r>
    </w:p>
    <w:p>
      <w:pPr>
        <w:pStyle w:val="Normodsaz"/>
        <w:numPr>
          <w:ilvl w:val="0"/>
          <w:numId w:val="2"/>
        </w:numPr>
        <w:ind w:left="284" w:hanging="284"/>
        <w:rPr/>
      </w:pPr>
      <w:r>
        <w:rPr>
          <w:rFonts w:cs="Calibri" w:ascii="Calibri" w:hAnsi="Calibri"/>
        </w:rPr>
        <w:t>Kupní cena ve výši bez DPH je nepřekročitelná. Na faktuře vystavené prodávajícím bude  uvedená kupní cena za plnění s DPH ve výši stanovené dle aktuálních právních předpisů. Při změně sazby DPH není třeba uzavírat dodatek k této smlouvě.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120" w:after="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 xml:space="preserve">Prodávající je povinen vystavit fakturu na základě dodacího listu potvrzeného podpisem kontaktní osoby kupujícího, případně jiného zaměstnance kupujícího, oprávněného dodávku převzít.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120" w:after="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 xml:space="preserve">Faktura prodávajícího musí obsahovat náležitosti stanovené právními předpisy, zejména zákonem č. 563/1991 Sb., o účetnictví, ve znění pozdějších předpisů, a zákonem č. 235/2004 Sb., o dani z přidané hodnoty, ve znění pozdějších předpisů, číslo této smlouvy a jejich přílohou bude kopie potvrzeného dodacího listu.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120" w:after="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V případě, že faktura nebude mít odpovídající náležitosti nebo bude obsahovat nesprávné údaje, je kupující oprávněn zaslat ji ve lhůtě splatnosti zpět k doplnění, aniž se tak dostane do prodlení se splatností; lhůta splatnosti počíná běžet znovu od obdržení náležitě doplněné či opravené faktury.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120" w:after="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>Kupující uhradí fakturu bezhotovostně převodem na účet prodávajícího do 14 dnů ode dne obdržení faktury. Zaplacením se rozumí odepsání finanční částky z účtu kupujícího ve prospěch prodávajícího. Úhrada za plnění se provede v české měně.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120" w:after="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pacing w:val="0"/>
          <w:sz w:val="24"/>
          <w:szCs w:val="24"/>
          <w:lang w:eastAsia="cs-CZ"/>
        </w:rPr>
        <w:t>Při prodlení s platbou je kupující povinen zaplatit p</w:t>
      </w:r>
      <w:r>
        <w:rPr>
          <w:rFonts w:cs="Calibri"/>
          <w:sz w:val="24"/>
          <w:szCs w:val="24"/>
          <w:lang w:eastAsia="cs-CZ"/>
        </w:rPr>
        <w:t>rodávajícímu</w:t>
      </w:r>
      <w:r>
        <w:rPr>
          <w:rFonts w:cs="Calibri"/>
          <w:spacing w:val="0"/>
          <w:sz w:val="24"/>
          <w:szCs w:val="24"/>
          <w:lang w:eastAsia="cs-CZ"/>
        </w:rPr>
        <w:t xml:space="preserve"> zákonný úrok z prodlení z dlužné částky</w:t>
      </w:r>
      <w:r>
        <w:rPr>
          <w:rFonts w:cs="Calibri"/>
          <w:sz w:val="24"/>
          <w:szCs w:val="24"/>
          <w:lang w:eastAsia="cs-CZ"/>
        </w:rPr>
        <w:t>. Kupující neposkytuje zálohové platby.</w:t>
      </w:r>
    </w:p>
    <w:p>
      <w:pPr>
        <w:pStyle w:val="Lnky"/>
        <w:rPr/>
      </w:pPr>
      <w:r>
        <w:rPr/>
      </w:r>
    </w:p>
    <w:p>
      <w:pPr>
        <w:pStyle w:val="Lnky"/>
        <w:rPr>
          <w:rFonts w:ascii="Calibri" w:hAnsi="Calibri" w:cs="Calibri"/>
        </w:rPr>
      </w:pPr>
      <w:r>
        <w:rPr>
          <w:rFonts w:cs="Calibri" w:ascii="Calibri" w:hAnsi="Calibri"/>
        </w:rPr>
        <w:t>V.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Předání a převzetí zboží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120" w:after="12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>Prodávající dodá zboží jednorázově.  Kupující se zavazuje odebrat veškeré zboží dle této smlouvy do 1 měsíce ode dne podpisu smlouvy.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120" w:after="0"/>
        <w:ind w:left="284" w:hanging="284"/>
        <w:jc w:val="both"/>
        <w:rPr/>
      </w:pPr>
      <w:r>
        <w:rPr>
          <w:rFonts w:eastAsia="Times New Roman" w:cs="Calibri"/>
          <w:sz w:val="24"/>
          <w:szCs w:val="24"/>
          <w:lang w:eastAsia="cs-CZ"/>
        </w:rPr>
        <w:t xml:space="preserve">V případě, že prodávající nedodá zboží ve lhůtě dle odst. 3, je kupující oprávněn požadovat smluvní pokutu ve výši 0,05 % z ceny objednaného zboží za každý i započatý den prodlení.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120" w:after="0"/>
        <w:ind w:left="284" w:hanging="284"/>
        <w:jc w:val="both"/>
        <w:rPr/>
      </w:pPr>
      <w:r>
        <w:rPr>
          <w:rFonts w:eastAsia="Times New Roman" w:cs="Calibri"/>
          <w:sz w:val="24"/>
          <w:szCs w:val="24"/>
          <w:lang w:eastAsia="cs-CZ"/>
        </w:rPr>
        <w:t>V případě prodlení s dodáním zboží delším než 20 dnů je kupující oprávněn odstoupit od smlouvy.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120" w:after="0"/>
        <w:ind w:left="284" w:hanging="284"/>
        <w:jc w:val="both"/>
        <w:rPr/>
      </w:pPr>
      <w:r>
        <w:rPr>
          <w:rFonts w:eastAsia="Times New Roman" w:cs="Calibri"/>
          <w:sz w:val="24"/>
          <w:szCs w:val="24"/>
          <w:lang w:eastAsia="cs-CZ"/>
        </w:rPr>
        <w:t xml:space="preserve">Prodávající je povinen sdělit kupujícímu před dodáním zboží jména pracovníků, kteří provedou dodávku zboží, dále typ vozidla a registrační značku vozidla. </w:t>
      </w:r>
      <w:r>
        <w:rPr>
          <w:rFonts w:cs="Calibri"/>
          <w:sz w:val="24"/>
          <w:szCs w:val="24"/>
          <w:lang w:eastAsia="cs-CZ"/>
        </w:rPr>
        <w:t>Kupující</w:t>
      </w:r>
      <w:r>
        <w:rPr>
          <w:rFonts w:cs="Calibri"/>
          <w:sz w:val="24"/>
          <w:szCs w:val="24"/>
        </w:rPr>
        <w:t xml:space="preserve"> je oprávněn z bezpečnostních důvodů změnit termín předpokládaného příjezdu vozidla nebo při vjezdu vozidel se zbožím může dojít ke zdržení vozidel (např. prohlídka ze strany PČR apod.). V případech takovýchto zdržení či změn nemá prodávající nárok na jakoukoliv finanční náhradu takto vzniklých prostojů. 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120"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nky"/>
        <w:rPr>
          <w:rFonts w:ascii="Calibri" w:hAnsi="Calibri" w:cs="Calibri"/>
        </w:rPr>
      </w:pPr>
      <w:r>
        <w:rPr>
          <w:rFonts w:cs="Calibri" w:ascii="Calibri" w:hAnsi="Calibri"/>
        </w:rPr>
        <w:t>VI.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Doba trvání smlouvy</w:t>
      </w:r>
    </w:p>
    <w:p>
      <w:pPr>
        <w:pStyle w:val="ListParagraph"/>
        <w:widowControl w:val="false"/>
        <w:spacing w:lineRule="auto" w:line="240" w:before="0" w:after="0"/>
        <w:ind w:left="284" w:hanging="0"/>
        <w:jc w:val="both"/>
        <w:rPr/>
      </w:pPr>
      <w:r>
        <w:rPr>
          <w:rFonts w:cs="Calibri"/>
          <w:sz w:val="24"/>
          <w:szCs w:val="24"/>
          <w:lang w:eastAsia="cs-CZ"/>
        </w:rPr>
        <w:t>Tato smlouva je uzavřena na dobu určitou, a to 1 měsíc od jejího uzavření. Smlouva nabývá platnosti a účinnosti dnem jejího podpisu oběma smluvními stranami.</w:t>
      </w:r>
    </w:p>
    <w:p>
      <w:pPr>
        <w:pStyle w:val="Lnky"/>
        <w:rPr/>
      </w:pPr>
      <w:r>
        <w:rPr/>
      </w:r>
    </w:p>
    <w:p>
      <w:pPr>
        <w:pStyle w:val="Lnky"/>
        <w:rPr>
          <w:rFonts w:ascii="Calibri" w:hAnsi="Calibri" w:cs="Calibri"/>
        </w:rPr>
      </w:pPr>
      <w:r>
        <w:rPr>
          <w:rFonts w:cs="Calibri" w:ascii="Calibri" w:hAnsi="Calibri"/>
        </w:rPr>
        <w:t xml:space="preserve">VII. 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Závěrečná ustanovení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120" w:after="12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Tato smlouva nabývá platnosti a účinnosti dnem jejího podpisu oběma smluvními stranami.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120" w:after="12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Změny a doplňky této smlouvy lze provést pouze formou písemných dodatků, podepsaných oprávněnými zástupci obou smluvních stran na jedné listině.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120" w:after="12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Prodávající souhlasí se zveřejněním této smlouvy.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120" w:after="120"/>
        <w:ind w:left="284" w:hanging="284"/>
        <w:jc w:val="both"/>
        <w:rPr/>
      </w:pPr>
      <w:r>
        <w:rPr>
          <w:rFonts w:cs="Calibri"/>
          <w:sz w:val="24"/>
          <w:szCs w:val="24"/>
          <w:lang w:eastAsia="cs-CZ"/>
        </w:rPr>
        <w:t>Tato smlouva je vyhotovena ve 4 výtiscích, z nichž dva obdrží prodávající a dva obdrží kupující.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120" w:after="120"/>
        <w:ind w:left="284" w:hanging="284"/>
        <w:jc w:val="both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Nedílnou součástí této smlouvy jsou následující přílohy: </w:t>
      </w:r>
    </w:p>
    <w:p>
      <w:pPr>
        <w:pStyle w:val="Normal"/>
        <w:widowControl w:val="false"/>
        <w:spacing w:lineRule="auto" w:line="240" w:before="240" w:after="120"/>
        <w:jc w:val="both"/>
        <w:rPr>
          <w:color w:val="00000A"/>
          <w:sz w:val="22"/>
          <w:szCs w:val="22"/>
          <w:lang w:eastAsia="en-US"/>
        </w:rPr>
      </w:pPr>
      <w:r>
        <w:rPr>
          <w:color w:val="00000A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240" w:before="240" w:after="120"/>
        <w:jc w:val="both"/>
        <w:rPr>
          <w:rFonts w:cs="Calibri"/>
          <w:b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240" w:after="120"/>
        <w:jc w:val="both"/>
        <w:rPr/>
      </w:pPr>
      <w:r>
        <w:rPr>
          <w:rFonts w:cs="Calibri"/>
          <w:b/>
          <w:sz w:val="24"/>
          <w:szCs w:val="24"/>
          <w:lang w:eastAsia="cs-CZ"/>
        </w:rPr>
        <w:t>Příloha č. 1</w:t>
      </w:r>
      <w:r>
        <w:rPr>
          <w:rFonts w:cs="Calibri"/>
          <w:sz w:val="24"/>
          <w:szCs w:val="24"/>
          <w:lang w:eastAsia="cs-CZ"/>
        </w:rPr>
        <w:tab/>
        <w:t>Specifikace zboží – tabulka „Kancelářské potřeby 201</w:t>
      </w:r>
      <w:r>
        <w:rPr>
          <w:rFonts w:cs="Calibri"/>
          <w:sz w:val="24"/>
          <w:szCs w:val="24"/>
          <w:lang w:eastAsia="cs-CZ"/>
        </w:rPr>
        <w:t>6/1</w:t>
      </w:r>
      <w:r>
        <w:rPr>
          <w:rFonts w:cs="Calibri"/>
          <w:sz w:val="24"/>
          <w:szCs w:val="24"/>
          <w:lang w:eastAsia="cs-CZ"/>
        </w:rPr>
        <w:t>“</w:t>
      </w:r>
    </w:p>
    <w:p>
      <w:pPr>
        <w:pStyle w:val="Normal"/>
        <w:widowControl w:val="false"/>
        <w:spacing w:lineRule="auto" w:line="240" w:before="240" w:after="0"/>
        <w:rPr>
          <w:rFonts w:cs="Calibri"/>
          <w:i/>
          <w:i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>Příloha č. 2</w:t>
      </w:r>
      <w:r>
        <w:rPr>
          <w:rFonts w:cs="Calibri"/>
          <w:sz w:val="24"/>
          <w:szCs w:val="24"/>
          <w:lang w:eastAsia="cs-CZ"/>
        </w:rPr>
        <w:tab/>
        <w:t>Dohoda o poskytnutí náhradního plnění</w:t>
      </w:r>
      <w:r>
        <w:rPr>
          <w:rFonts w:cs="Calibri"/>
          <w:i/>
          <w:sz w:val="24"/>
          <w:szCs w:val="24"/>
          <w:lang w:eastAsia="cs-CZ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color w:val="00000A"/>
          <w:spacing w:val="4"/>
          <w:sz w:val="24"/>
          <w:szCs w:val="24"/>
          <w:lang w:eastAsia="cs-CZ"/>
        </w:rPr>
      </w:pPr>
      <w:r>
        <w:rPr>
          <w:rFonts w:cs="Calibri"/>
          <w:color w:val="00000A"/>
          <w:spacing w:val="4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5103" w:leader="none"/>
          <w:tab w:val="left" w:pos="5670" w:leader="none"/>
          <w:tab w:val="left" w:pos="7797" w:leader="dot"/>
        </w:tabs>
        <w:spacing w:lineRule="auto" w:line="240" w:before="36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shd w:fill="FFFF00" w:val="clear"/>
          <w:lang w:eastAsia="cs-CZ"/>
        </w:rPr>
        <w:t>V</w:t>
        <w:tab/>
        <w:tab/>
        <w:t>dne</w:t>
        <w:tab/>
      </w:r>
      <w:r>
        <w:rPr>
          <w:rFonts w:cs="Calibri"/>
          <w:sz w:val="24"/>
          <w:szCs w:val="24"/>
          <w:lang w:eastAsia="cs-CZ"/>
        </w:rPr>
        <w:tab/>
        <w:t>V Praze dne</w:t>
        <w:tab/>
        <w:tab/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843" w:leader="dot"/>
          <w:tab w:val="left" w:pos="3828" w:leader="dot"/>
          <w:tab w:val="left" w:pos="4395" w:leader="none"/>
          <w:tab w:val="left" w:pos="5387" w:leader="none"/>
          <w:tab w:val="left" w:pos="6521" w:leader="none"/>
          <w:tab w:val="left" w:pos="7938" w:leader="dot"/>
          <w:tab w:val="left" w:pos="8222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3828" w:leader="dot"/>
          <w:tab w:val="left" w:pos="4395" w:leader="none"/>
          <w:tab w:val="left" w:pos="9214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3828" w:leader="underscore"/>
          <w:tab w:val="left" w:pos="4962" w:leader="none"/>
          <w:tab w:val="left" w:pos="8364" w:leader="underscore"/>
        </w:tabs>
        <w:spacing w:lineRule="auto" w:line="240"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ab/>
        <w:tab/>
        <w:tab/>
      </w:r>
    </w:p>
    <w:p>
      <w:pPr>
        <w:pStyle w:val="Normal"/>
        <w:widowControl w:val="false"/>
        <w:tabs>
          <w:tab w:val="left" w:pos="0" w:leader="none"/>
          <w:tab w:val="left" w:pos="3828" w:leader="underscore"/>
          <w:tab w:val="left" w:pos="4962" w:leader="none"/>
          <w:tab w:val="left" w:pos="8364" w:leader="underscore"/>
        </w:tabs>
        <w:spacing w:lineRule="auto" w:line="240"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                                                                                                    </w:t>
      </w:r>
      <w:r>
        <w:rPr>
          <w:rFonts w:cs="Calibri"/>
          <w:sz w:val="24"/>
          <w:szCs w:val="24"/>
          <w:lang w:eastAsia="cs-CZ"/>
        </w:rPr>
        <w:t>JUDr. Zdeňka Jůzlová</w:t>
      </w:r>
    </w:p>
    <w:p>
      <w:pPr>
        <w:pStyle w:val="Normal"/>
        <w:widowControl w:val="false"/>
        <w:tabs>
          <w:tab w:val="left" w:pos="0" w:leader="none"/>
          <w:tab w:val="left" w:pos="3828" w:leader="underscore"/>
          <w:tab w:val="left" w:pos="4962" w:leader="none"/>
          <w:tab w:val="left" w:pos="8364" w:leader="underscore"/>
        </w:tabs>
        <w:spacing w:lineRule="auto" w:line="240"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                                                                                                   </w:t>
      </w:r>
      <w:r>
        <w:rPr>
          <w:rFonts w:cs="Calibri"/>
          <w:sz w:val="24"/>
          <w:szCs w:val="24"/>
          <w:lang w:eastAsia="cs-CZ"/>
        </w:rPr>
        <w:t>Náměstkyně ředitele NBÚ</w:t>
      </w:r>
    </w:p>
    <w:p>
      <w:pPr>
        <w:sectPr>
          <w:footerReference w:type="default" r:id="rId2"/>
          <w:type w:val="nextPage"/>
          <w:pgSz w:w="11906" w:h="16838"/>
          <w:pgMar w:left="1418" w:right="1134" w:header="0" w:top="709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tabs>
          <w:tab w:val="left" w:pos="0" w:leader="none"/>
          <w:tab w:val="left" w:pos="3828" w:leader="underscore"/>
          <w:tab w:val="center" w:pos="4536" w:leader="none"/>
          <w:tab w:val="left" w:pos="4962" w:leader="none"/>
          <w:tab w:val="left" w:pos="8364" w:leader="underscore"/>
          <w:tab w:val="right" w:pos="9072" w:leader="none"/>
        </w:tabs>
        <w:spacing w:lineRule="auto" w:line="240" w:before="0" w:after="0"/>
        <w:rPr/>
      </w:pPr>
      <w:r>
        <w:rPr>
          <w:rFonts w:cs="Calibri"/>
          <w:sz w:val="24"/>
          <w:szCs w:val="24"/>
          <w:lang w:eastAsia="cs-CZ"/>
        </w:rPr>
        <w:t xml:space="preserve">                                                                      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cs="Calibri"/>
          <w:b/>
          <w:sz w:val="24"/>
          <w:szCs w:val="24"/>
        </w:rPr>
        <w:t>Dohoda o poskytnutí náhradního plnění a potvrzení o něm</w:t>
      </w:r>
    </w:p>
    <w:p>
      <w:pPr>
        <w:pStyle w:val="Tlotextu"/>
        <w:tabs>
          <w:tab w:val="left" w:pos="2268" w:leader="none"/>
        </w:tabs>
        <w:spacing w:before="0" w:after="0"/>
        <w:jc w:val="center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uzavřená podle § 1746 odst. 2 zákona č. 89/2012 Sb., občanský zákoník</w:t>
      </w:r>
    </w:p>
    <w:p>
      <w:pPr>
        <w:pStyle w:val="Normal"/>
        <w:spacing w:before="0" w:after="120"/>
        <w:jc w:val="both"/>
        <w:rPr>
          <w:rFonts w:cs="Calibri"/>
          <w:b/>
          <w:b/>
          <w:color w:val="00000A"/>
          <w:sz w:val="24"/>
          <w:szCs w:val="24"/>
          <w:lang w:eastAsia="en-US"/>
        </w:rPr>
      </w:pPr>
      <w:r>
        <w:rPr>
          <w:rFonts w:cs="Calibri"/>
          <w:b/>
          <w:color w:val="00000A"/>
          <w:sz w:val="24"/>
          <w:szCs w:val="24"/>
          <w:lang w:eastAsia="en-US"/>
        </w:rPr>
      </w:r>
    </w:p>
    <w:p>
      <w:pPr>
        <w:pStyle w:val="Normal"/>
        <w:spacing w:lineRule="auto" w:line="192" w:before="0"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ČESKÁ REPUBLIKA – organizační složka NÁRODNÍ BEZPEČNOSTNÍ ÚŘAD</w:t>
      </w:r>
    </w:p>
    <w:p>
      <w:pPr>
        <w:pStyle w:val="Normal"/>
        <w:spacing w:lineRule="auto" w:line="192" w:before="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 sídlem Na Popelce 2/16, 150 06  Praha 5, Košíře</w:t>
      </w:r>
    </w:p>
    <w:p>
      <w:pPr>
        <w:pStyle w:val="Normal"/>
        <w:spacing w:lineRule="auto" w:line="192" w:before="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IČ: 68403569</w:t>
      </w:r>
    </w:p>
    <w:p>
      <w:pPr>
        <w:pStyle w:val="Normal"/>
        <w:spacing w:lineRule="auto" w:line="1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jehož jménem jedná JUDr. Zdeňka Jůzlová, náměstkyně ředitele Národního bezpečnostního úřadu</w:t>
      </w:r>
    </w:p>
    <w:p>
      <w:pPr>
        <w:pStyle w:val="Normal"/>
        <w:spacing w:lineRule="auto" w:line="192"/>
        <w:jc w:val="both"/>
        <w:rPr/>
      </w:pPr>
      <w:r>
        <w:rPr>
          <w:rFonts w:cs="Calibri"/>
          <w:sz w:val="24"/>
          <w:szCs w:val="24"/>
        </w:rPr>
        <w:t>dále jako „kupující“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Calibri"/>
          <w:sz w:val="24"/>
          <w:szCs w:val="24"/>
        </w:rPr>
        <w:t>a</w:t>
      </w:r>
    </w:p>
    <w:p>
      <w:pPr>
        <w:pStyle w:val="Normal"/>
        <w:spacing w:lineRule="auto" w:line="240" w:before="240" w:after="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  <w:shd w:fill="FFFF00" w:val="clear"/>
        </w:rPr>
        <w:t>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sídlem: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IČ: </w:t>
      </w:r>
      <w:r>
        <w:rPr>
          <w:rFonts w:cs="Calibri"/>
          <w:sz w:val="24"/>
          <w:szCs w:val="24"/>
          <w:shd w:fill="FFFF00" w:val="clear"/>
        </w:rPr>
        <w:t>...............</w:t>
      </w:r>
      <w:r>
        <w:rPr>
          <w:rFonts w:cs="Calibri"/>
          <w:sz w:val="24"/>
          <w:szCs w:val="24"/>
        </w:rPr>
        <w:t xml:space="preserve">              DIČ: CZ </w:t>
      </w:r>
      <w:r>
        <w:rPr>
          <w:rFonts w:cs="Calibri"/>
          <w:sz w:val="24"/>
          <w:szCs w:val="24"/>
          <w:shd w:fill="FFFF00" w:val="clear"/>
        </w:rPr>
        <w:t>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zapsaná </w:t>
      </w:r>
      <w:r>
        <w:rPr>
          <w:rFonts w:cs="Calibri"/>
          <w:bCs/>
          <w:sz w:val="24"/>
          <w:szCs w:val="24"/>
        </w:rPr>
        <w:t xml:space="preserve">ve veřejném </w:t>
      </w:r>
      <w:r>
        <w:rPr>
          <w:rFonts w:cs="Calibri"/>
          <w:sz w:val="24"/>
          <w:szCs w:val="24"/>
        </w:rPr>
        <w:t xml:space="preserve">rejstříku u </w:t>
      </w:r>
      <w:r>
        <w:rPr>
          <w:rFonts w:cs="Calibri"/>
          <w:sz w:val="24"/>
          <w:szCs w:val="24"/>
          <w:shd w:fill="FFFF00" w:val="clear"/>
        </w:rPr>
        <w:t>......................................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t xml:space="preserve">spisová značka </w:t>
      </w:r>
      <w:r>
        <w:rPr>
          <w:rFonts w:cs="Calibri"/>
          <w:bCs/>
          <w:sz w:val="24"/>
          <w:szCs w:val="24"/>
          <w:shd w:fill="FFFF00" w:val="clear"/>
        </w:rPr>
        <w:t>..........</w:t>
      </w:r>
    </w:p>
    <w:p>
      <w:pPr>
        <w:pStyle w:val="Normal"/>
        <w:spacing w:lineRule="auto" w:line="240" w:before="0"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jejímž jménem jedná: </w:t>
      </w:r>
      <w:r>
        <w:rPr>
          <w:rFonts w:cs="Calibri"/>
          <w:sz w:val="24"/>
          <w:szCs w:val="24"/>
          <w:shd w:fill="FFFF00" w:val="clear"/>
        </w:rPr>
        <w:t>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bankovní spojení: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  <w:r>
        <w:rPr>
          <w:rFonts w:cs="Calibri"/>
          <w:sz w:val="24"/>
          <w:szCs w:val="24"/>
        </w:rPr>
        <w:t xml:space="preserve">, účet č.: </w:t>
      </w:r>
      <w:r>
        <w:rPr>
          <w:rFonts w:cs="Calibri"/>
          <w:sz w:val="24"/>
          <w:szCs w:val="24"/>
          <w:shd w:fill="FFFF00" w:val="clear"/>
        </w:rPr>
        <w:t>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kontaktní osoba:  </w:t>
      </w:r>
      <w:r>
        <w:rPr>
          <w:rFonts w:cs="Calibri"/>
          <w:sz w:val="24"/>
          <w:szCs w:val="24"/>
          <w:shd w:fill="FFFF00" w:val="clear"/>
        </w:rPr>
        <w:t>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(dále jen „prodávající“)</w:t>
      </w:r>
    </w:p>
    <w:p>
      <w:pPr>
        <w:pStyle w:val="Normal"/>
        <w:spacing w:lineRule="auto" w:line="240" w:before="160" w:after="0"/>
        <w:jc w:val="both"/>
        <w:rPr/>
      </w:pPr>
      <w:r>
        <w:rPr>
          <w:rFonts w:cs="Calibri"/>
          <w:sz w:val="24"/>
          <w:szCs w:val="24"/>
        </w:rPr>
        <w:t xml:space="preserve">uzavírají níže uvedeného dne, měsíce a roku tuto dohodu o poskytnutí náhradního plnění </w:t>
        <w:br/>
        <w:t>a potvrzení o něm (dále jen „dohoda“).</w:t>
      </w:r>
    </w:p>
    <w:p>
      <w:pPr>
        <w:pStyle w:val="Lnky"/>
        <w:spacing w:before="240" w:after="200"/>
        <w:rPr>
          <w:rFonts w:ascii="Calibri" w:hAnsi="Calibri" w:cs="Calibri"/>
          <w:b/>
          <w:b/>
          <w:color w:val="00000A"/>
          <w:sz w:val="24"/>
          <w:szCs w:val="24"/>
          <w:lang w:eastAsia="cs-CZ"/>
        </w:rPr>
      </w:pPr>
      <w:r>
        <w:rPr>
          <w:rFonts w:cs="Calibri" w:ascii="Calibri" w:hAnsi="Calibri"/>
          <w:b/>
          <w:color w:val="00000A"/>
          <w:sz w:val="24"/>
          <w:szCs w:val="24"/>
          <w:lang w:eastAsia="cs-CZ"/>
        </w:rPr>
      </w:r>
    </w:p>
    <w:p>
      <w:pPr>
        <w:pStyle w:val="Lnky"/>
        <w:spacing w:before="240" w:after="200"/>
        <w:rPr/>
      </w:pPr>
      <w:r>
        <w:rPr>
          <w:rFonts w:cs="Calibri" w:ascii="Calibri" w:hAnsi="Calibri"/>
        </w:rPr>
        <w:t>Čl. I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Úvodní ustanovení</w:t>
      </w:r>
    </w:p>
    <w:p>
      <w:pPr>
        <w:pStyle w:val="Normal"/>
        <w:numPr>
          <w:ilvl w:val="0"/>
          <w:numId w:val="5"/>
        </w:numPr>
        <w:spacing w:lineRule="auto" w:line="240" w:before="120" w:after="0"/>
        <w:ind w:left="357" w:hanging="357"/>
        <w:jc w:val="both"/>
        <w:rPr/>
      </w:pPr>
      <w:r>
        <w:rPr>
          <w:rFonts w:cs="Calibri"/>
          <w:sz w:val="24"/>
          <w:szCs w:val="24"/>
        </w:rPr>
        <w:t>Prodávající a kupující uzavřeli dne</w:t>
      </w:r>
      <w:r>
        <w:rPr>
          <w:rFonts w:cs="Calibri"/>
          <w:sz w:val="24"/>
          <w:szCs w:val="24"/>
          <w:shd w:fill="FFFF00" w:val="clear"/>
        </w:rPr>
        <w:t xml:space="preserve"> …..... </w:t>
      </w:r>
      <w:r>
        <w:rPr>
          <w:rFonts w:cs="Calibri"/>
          <w:sz w:val="24"/>
          <w:szCs w:val="24"/>
        </w:rPr>
        <w:t xml:space="preserve">smlouvu o dodávce kancelářských potřeb č. ........ </w:t>
      </w:r>
    </w:p>
    <w:p>
      <w:pPr>
        <w:pStyle w:val="Normal"/>
        <w:numPr>
          <w:ilvl w:val="0"/>
          <w:numId w:val="5"/>
        </w:numPr>
        <w:spacing w:lineRule="auto" w:line="240" w:before="120" w:after="0"/>
        <w:ind w:left="357" w:hanging="357"/>
        <w:jc w:val="both"/>
        <w:rPr/>
      </w:pPr>
      <w:r>
        <w:rPr>
          <w:rFonts w:cs="Calibri"/>
          <w:sz w:val="24"/>
          <w:szCs w:val="24"/>
        </w:rPr>
        <w:t>Předmětem závazku dle předchozího bodu je dodávka kancelářských potřeb.</w:t>
      </w:r>
    </w:p>
    <w:p>
      <w:pPr>
        <w:pStyle w:val="Normal"/>
        <w:numPr>
          <w:ilvl w:val="0"/>
          <w:numId w:val="5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Kupní cena za plnění dle předchozích bodů činí </w:t>
      </w:r>
      <w:r>
        <w:rPr>
          <w:rFonts w:cs="Calibri"/>
          <w:sz w:val="24"/>
          <w:szCs w:val="24"/>
          <w:shd w:fill="FFFF00" w:val="clear"/>
        </w:rPr>
        <w:t>…............</w:t>
      </w:r>
      <w:r>
        <w:rPr>
          <w:rFonts w:cs="Calibri"/>
          <w:sz w:val="24"/>
          <w:szCs w:val="24"/>
        </w:rPr>
        <w:t xml:space="preserve"> Kč vč. DPH.</w:t>
      </w:r>
    </w:p>
    <w:p>
      <w:pPr>
        <w:pStyle w:val="Lnky"/>
        <w:spacing w:before="240" w:after="200"/>
        <w:rPr>
          <w:rFonts w:ascii="Calibri" w:hAnsi="Calibri" w:cs="Calibri"/>
        </w:rPr>
      </w:pPr>
      <w:r>
        <w:rPr>
          <w:rFonts w:cs="Calibri" w:ascii="Calibri" w:hAnsi="Calibri"/>
        </w:rPr>
        <w:t>Čl. II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Poskytnutí náhradního plnění</w:t>
      </w:r>
    </w:p>
    <w:p>
      <w:pPr>
        <w:pStyle w:val="Normal"/>
        <w:numPr>
          <w:ilvl w:val="0"/>
          <w:numId w:val="6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Plnění dle přechozího článku je poskytnutím tzv. náhradního plnění ve smyslu § 81 odst. 2 písm. b) zákona č. 435/2004 Sb., o zaměstnanosti, ve znění pozdějších předpisů (dále jen „náhradní plnění“ a „zákon o zaměstnanosti“), a to v celém rozsahu. </w:t>
      </w:r>
    </w:p>
    <w:p>
      <w:pPr>
        <w:pStyle w:val="Normal"/>
        <w:numPr>
          <w:ilvl w:val="0"/>
          <w:numId w:val="6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 zaměstnavatelem zaměstnávajícím více než 50 % zaměstnanců, kteří jsou osobami se zdravotním postižením, tuto skutečnost dokládá potvrzením o průměrném celoročním přepočteném stavu osob se zdravotním postižením a dohodou s Úřadem práce o vymezení chráněných míst zaměstnavatele osob se zdravotním postižením, které jsou přílohou této dohody.</w:t>
      </w:r>
    </w:p>
    <w:p>
      <w:pPr>
        <w:pStyle w:val="Normal"/>
        <w:numPr>
          <w:ilvl w:val="0"/>
          <w:numId w:val="6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prohlašuje, že zaměstnává takový počet osob se zdravotním postižením, aby byl schopen vystavit kupujícímu potvrzení o náhradním plnění v rozsahu dle bodu 1 tohoto článku, aniž by porušil § 81 odst. 3 zákona o zaměstnanosti.</w:t>
      </w:r>
    </w:p>
    <w:p>
      <w:pPr>
        <w:pStyle w:val="Lnky"/>
        <w:spacing w:before="240" w:after="200"/>
        <w:rPr/>
      </w:pPr>
      <w:r>
        <w:rPr>
          <w:rFonts w:cs="Calibri" w:ascii="Calibri" w:hAnsi="Calibri"/>
        </w:rPr>
        <w:t>Čl. III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Poskytnutí potvrzení o náhradním plnění</w:t>
      </w:r>
    </w:p>
    <w:p>
      <w:pPr>
        <w:pStyle w:val="Normal"/>
        <w:numPr>
          <w:ilvl w:val="0"/>
          <w:numId w:val="7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je povinen kupujícímu na jeho žádost bezodkladně, nejpozději však do 5 pracovních dnů, vystavit a předat písemné potvrzení o náhradním plnění (potvrzení o uznaném objemu náhradního plnění), a to pro celý rozsah plnění dle čl. II bod 1.</w:t>
      </w:r>
    </w:p>
    <w:p>
      <w:pPr>
        <w:pStyle w:val="Normal"/>
        <w:numPr>
          <w:ilvl w:val="0"/>
          <w:numId w:val="7"/>
        </w:numPr>
        <w:spacing w:lineRule="auto" w:line="240" w:before="120" w:after="0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případě, že prodávající nedodrží povinnost dle předchozího bodu, je povinen zaplatit kupujícímu náhradu vzniklé škody způsobené porušením této povinnosti. Škodou se rozumí mimo jiné i odvod do státního rozpočtu dle § 81 odst. 2 písm. c) zákona o zaměstnanosti zaplacený v důsledku neposkytnutí potvrzení o náhradním plnění.</w:t>
      </w:r>
    </w:p>
    <w:p>
      <w:pPr>
        <w:pStyle w:val="Normal"/>
        <w:numPr>
          <w:ilvl w:val="0"/>
          <w:numId w:val="7"/>
        </w:numPr>
        <w:spacing w:lineRule="auto" w:line="240" w:before="120" w:after="0"/>
        <w:ind w:left="357" w:hanging="357"/>
        <w:jc w:val="both"/>
        <w:rPr/>
      </w:pPr>
      <w:r>
        <w:rPr>
          <w:rFonts w:cs="Calibri"/>
          <w:sz w:val="24"/>
          <w:szCs w:val="24"/>
        </w:rPr>
        <w:t>V případě, že prodávající nedodrží povinnost dle bodu 1 tohoto článku, je zároveň povinen uhradit smluvní pokutu ve výši 10.000,- Kč, přičemž se částka zaplacené smluvní pokuty do výše náhrady škody nezapočítává. Nárok na náhradu škody není tímto ustanovením dotčen.</w:t>
      </w:r>
    </w:p>
    <w:p>
      <w:pPr>
        <w:pStyle w:val="Lnky"/>
        <w:spacing w:before="240" w:after="200"/>
        <w:rPr/>
      </w:pPr>
      <w:r>
        <w:rPr>
          <w:rFonts w:cs="Calibri" w:ascii="Calibri" w:hAnsi="Calibri"/>
        </w:rPr>
        <w:t>Čl. IV</w:t>
      </w:r>
    </w:p>
    <w:p>
      <w:pPr>
        <w:pStyle w:val="Podnadpis"/>
        <w:rPr>
          <w:rFonts w:ascii="Calibri" w:hAnsi="Calibri" w:cs="Calibri"/>
        </w:rPr>
      </w:pPr>
      <w:r>
        <w:rPr>
          <w:rFonts w:cs="Calibri" w:ascii="Calibri" w:hAnsi="Calibri"/>
        </w:rPr>
        <w:t>Ostatní ujednání</w:t>
      </w:r>
    </w:p>
    <w:p>
      <w:pPr>
        <w:pStyle w:val="Normal"/>
        <w:numPr>
          <w:ilvl w:val="0"/>
          <w:numId w:val="8"/>
        </w:numPr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dohoda nabývá platnosti a účinnosti dnem podpisu oběma smluvními stranami.</w:t>
      </w:r>
    </w:p>
    <w:p>
      <w:pPr>
        <w:pStyle w:val="Normal"/>
        <w:numPr>
          <w:ilvl w:val="0"/>
          <w:numId w:val="8"/>
        </w:numPr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Tuto dohodu lze měnit na základě dohody smluvních stran formou písemných číslovaných dodatků, podepsaných oprávněnými zástupci smluvních stran.</w:t>
      </w:r>
    </w:p>
    <w:p>
      <w:pPr>
        <w:pStyle w:val="Normal"/>
        <w:numPr>
          <w:ilvl w:val="0"/>
          <w:numId w:val="8"/>
        </w:numPr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dohoda je vyhotovena ve 3 stejnopisech, z nichž kupující obdrží dva a prodávající jeden stejnopis.</w:t>
      </w:r>
    </w:p>
    <w:p>
      <w:pPr>
        <w:pStyle w:val="Normal"/>
        <w:numPr>
          <w:ilvl w:val="0"/>
          <w:numId w:val="8"/>
        </w:numPr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Žádná ze smluvních stran nesmí práva a povinnosti z této dohody bez písemného souhlasu druhé smluvní strany postoupit na jiné subjekty.</w:t>
      </w:r>
    </w:p>
    <w:p>
      <w:pPr>
        <w:pStyle w:val="Normal"/>
        <w:spacing w:lineRule="auto" w:line="240" w:before="120" w:after="0"/>
        <w:jc w:val="both"/>
        <w:rPr>
          <w:rFonts w:cs="Calibri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349" w:hanging="0"/>
        <w:jc w:val="both"/>
        <w:rPr>
          <w:rFonts w:cs="Calibr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120" w:after="0"/>
        <w:jc w:val="both"/>
        <w:rPr>
          <w:rFonts w:cs="Calibri"/>
          <w:color w:val="00000A"/>
          <w:sz w:val="24"/>
          <w:szCs w:val="24"/>
          <w:lang w:eastAsia="en-US"/>
        </w:rPr>
      </w:pPr>
      <w:r>
        <w:rPr>
          <w:rFonts w:cs="Calibri"/>
          <w:color w:val="00000A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4820" w:leader="none"/>
          <w:tab w:val="left" w:pos="5670" w:leader="none"/>
          <w:tab w:val="left" w:pos="7797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4820" w:leader="none"/>
          <w:tab w:val="left" w:pos="5670" w:leader="none"/>
          <w:tab w:val="left" w:pos="7797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4820" w:leader="none"/>
          <w:tab w:val="left" w:pos="5670" w:leader="none"/>
          <w:tab w:val="left" w:pos="7797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4820" w:leader="none"/>
          <w:tab w:val="left" w:pos="5670" w:leader="none"/>
          <w:tab w:val="left" w:pos="7797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985" w:leader="dot"/>
          <w:tab w:val="left" w:pos="3828" w:leader="dot"/>
          <w:tab w:val="left" w:pos="4820" w:leader="none"/>
          <w:tab w:val="left" w:pos="5670" w:leader="none"/>
          <w:tab w:val="left" w:pos="7797" w:leader="dot"/>
        </w:tabs>
        <w:spacing w:lineRule="auto" w:line="240"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>V</w:t>
        <w:tab/>
      </w:r>
      <w:r>
        <w:rPr>
          <w:rFonts w:cs="Calibri"/>
          <w:sz w:val="24"/>
          <w:szCs w:val="24"/>
          <w:shd w:fill="FFFF00" w:val="clear"/>
          <w:lang w:eastAsia="cs-CZ"/>
        </w:rPr>
        <w:tab/>
      </w:r>
      <w:r>
        <w:rPr>
          <w:rFonts w:cs="Calibri"/>
          <w:sz w:val="24"/>
          <w:szCs w:val="24"/>
          <w:lang w:eastAsia="cs-CZ"/>
        </w:rPr>
        <w:t xml:space="preserve">dne </w:t>
      </w:r>
      <w:r>
        <w:rPr>
          <w:rFonts w:cs="Calibri"/>
          <w:sz w:val="24"/>
          <w:szCs w:val="24"/>
          <w:shd w:fill="FFFF00" w:val="clear"/>
          <w:lang w:eastAsia="cs-CZ"/>
        </w:rPr>
        <w:tab/>
      </w:r>
      <w:r>
        <w:rPr>
          <w:rFonts w:cs="Calibri"/>
          <w:sz w:val="24"/>
          <w:szCs w:val="24"/>
          <w:lang w:eastAsia="cs-CZ"/>
        </w:rPr>
        <w:tab/>
        <w:t>V Praze dne</w:t>
        <w:tab/>
        <w:tab/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843" w:leader="dot"/>
          <w:tab w:val="left" w:pos="3828" w:leader="dot"/>
          <w:tab w:val="left" w:pos="4395" w:leader="none"/>
          <w:tab w:val="left" w:pos="5387" w:leader="none"/>
          <w:tab w:val="left" w:pos="6521" w:leader="none"/>
          <w:tab w:val="left" w:pos="7938" w:leader="dot"/>
          <w:tab w:val="left" w:pos="8222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843" w:leader="dot"/>
          <w:tab w:val="left" w:pos="3828" w:leader="dot"/>
          <w:tab w:val="left" w:pos="4395" w:leader="none"/>
          <w:tab w:val="left" w:pos="5387" w:leader="none"/>
          <w:tab w:val="left" w:pos="6521" w:leader="none"/>
          <w:tab w:val="left" w:pos="7938" w:leader="dot"/>
          <w:tab w:val="left" w:pos="8222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0" w:leader="none"/>
          <w:tab w:val="left" w:pos="284" w:leader="none"/>
          <w:tab w:val="left" w:pos="1843" w:leader="dot"/>
          <w:tab w:val="left" w:pos="3828" w:leader="dot"/>
          <w:tab w:val="left" w:pos="4395" w:leader="none"/>
          <w:tab w:val="left" w:pos="5387" w:leader="none"/>
          <w:tab w:val="left" w:pos="6521" w:leader="none"/>
          <w:tab w:val="left" w:pos="7938" w:leader="dot"/>
          <w:tab w:val="left" w:pos="8222" w:leader="dot"/>
        </w:tabs>
        <w:spacing w:lineRule="auto" w:line="240" w:before="0" w:after="0"/>
        <w:rPr>
          <w:rFonts w:cs="Calibri"/>
          <w:color w:val="00000A"/>
          <w:sz w:val="24"/>
          <w:szCs w:val="24"/>
          <w:lang w:eastAsia="cs-CZ"/>
        </w:rPr>
      </w:pPr>
      <w:r>
        <w:rPr>
          <w:rFonts w:cs="Calibri"/>
          <w:color w:val="00000A"/>
          <w:sz w:val="24"/>
          <w:szCs w:val="24"/>
          <w:lang w:eastAsia="cs-CZ"/>
        </w:rPr>
      </w:r>
    </w:p>
    <w:p>
      <w:pPr>
        <w:pStyle w:val="Normal"/>
        <w:widowControl w:val="false"/>
        <w:tabs>
          <w:tab w:val="left" w:pos="284" w:leader="none"/>
          <w:tab w:val="left" w:pos="3402" w:leader="underscore"/>
          <w:tab w:val="left" w:pos="4820" w:leader="none"/>
          <w:tab w:val="left" w:pos="7938" w:leader="underscore"/>
        </w:tabs>
        <w:spacing w:lineRule="auto" w:line="240"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ab/>
        <w:tab/>
        <w:tab/>
        <w:tab/>
      </w:r>
    </w:p>
    <w:p>
      <w:pPr>
        <w:pStyle w:val="Normal"/>
        <w:widowControl w:val="false"/>
        <w:tabs>
          <w:tab w:val="left" w:pos="0" w:leader="none"/>
          <w:tab w:val="left" w:pos="3828" w:leader="dot"/>
          <w:tab w:val="left" w:pos="4395" w:leader="none"/>
          <w:tab w:val="left" w:pos="9214" w:leader="dot"/>
        </w:tabs>
        <w:spacing w:lineRule="auto" w:line="240"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cs-CZ"/>
        </w:rPr>
        <w:t xml:space="preserve">za </w:t>
      </w:r>
      <w:r>
        <w:rPr>
          <w:rFonts w:cs="Calibri"/>
          <w:sz w:val="24"/>
          <w:szCs w:val="24"/>
          <w:shd w:fill="FFFF00" w:val="clear"/>
          <w:lang w:eastAsia="cs-CZ"/>
        </w:rPr>
        <w:tab/>
      </w:r>
      <w:r>
        <w:rPr>
          <w:rFonts w:cs="Calibri"/>
          <w:sz w:val="24"/>
          <w:szCs w:val="24"/>
          <w:lang w:eastAsia="cs-CZ"/>
        </w:rPr>
        <w:tab/>
        <w:t xml:space="preserve">          JUDr. Zdeňka Jůzlová </w:t>
      </w:r>
    </w:p>
    <w:p>
      <w:pPr>
        <w:pStyle w:val="Normal"/>
        <w:widowControl w:val="false"/>
        <w:tabs>
          <w:tab w:val="left" w:pos="0" w:leader="none"/>
          <w:tab w:val="left" w:pos="3828" w:leader="dot"/>
          <w:tab w:val="left" w:pos="4395" w:leader="none"/>
          <w:tab w:val="left" w:pos="9214" w:leader="dot"/>
        </w:tabs>
        <w:spacing w:lineRule="auto" w:line="240" w:before="120" w:after="0"/>
        <w:rPr/>
      </w:pPr>
      <w:r>
        <w:rPr>
          <w:rFonts w:cs="Calibri"/>
          <w:sz w:val="24"/>
          <w:szCs w:val="24"/>
          <w:lang w:eastAsia="cs-CZ"/>
        </w:rPr>
        <w:t xml:space="preserve">                                                                                           </w:t>
      </w:r>
      <w:r>
        <w:rPr>
          <w:rFonts w:cs="Calibri"/>
          <w:sz w:val="24"/>
          <w:szCs w:val="24"/>
          <w:lang w:eastAsia="cs-CZ"/>
        </w:rPr>
        <w:t>Náměstkyně ředitele NBÚ</w:t>
      </w:r>
      <w:r>
        <w:rPr>
          <w:rFonts w:cs="Garamond" w:ascii="Garamond" w:hAnsi="Garamond"/>
          <w:sz w:val="24"/>
          <w:szCs w:val="24"/>
          <w:lang w:eastAsia="cs-CZ"/>
        </w:rPr>
        <w:t xml:space="preserve">                                                           </w:t>
      </w:r>
    </w:p>
    <w:sectPr>
      <w:footerReference w:type="default" r:id="rId3"/>
      <w:type w:val="nextPage"/>
      <w:pgSz w:w="11906" w:h="16838"/>
      <w:pgMar w:left="1418" w:right="1134" w:header="0" w:top="709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Zpat"/>
          <w:spacing w:before="0" w:after="2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Zpat"/>
          <w:spacing w:before="0" w:after="2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b/>
        <w:szCs w:val="16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5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>
      <w:outlineLvl w:val="0"/>
    </w:pPr>
    <w:rPr/>
  </w:style>
  <w:style w:type="paragraph" w:styleId="Nadpis2">
    <w:name w:val="Nadpis 2"/>
    <w:basedOn w:val="Nadpis"/>
    <w:pPr>
      <w:outlineLvl w:val="1"/>
    </w:pPr>
    <w:rPr/>
  </w:style>
  <w:style w:type="paragraph" w:styleId="Nadpis3">
    <w:name w:val="Nadpis 3"/>
    <w:basedOn w:val="Nadpis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qFormat/>
    <w:rsid w:val="0019036a"/>
    <w:rPr>
      <w:rFonts w:cs="Times New Roman"/>
      <w:sz w:val="16"/>
      <w:szCs w:val="16"/>
    </w:rPr>
  </w:style>
  <w:style w:type="character" w:styleId="TextkomenteChar" w:customStyle="1">
    <w:name w:val="Text komentáře Char"/>
    <w:link w:val="Textkomente"/>
    <w:uiPriority w:val="99"/>
    <w:qFormat/>
    <w:locked/>
    <w:rsid w:val="0019036a"/>
    <w:rPr>
      <w:rFonts w:cs="Times New Roman"/>
      <w:sz w:val="20"/>
      <w:szCs w:val="20"/>
    </w:rPr>
  </w:style>
  <w:style w:type="character" w:styleId="PedmtkomenteChar" w:customStyle="1">
    <w:name w:val="Předmět komentáře Char"/>
    <w:link w:val="Pedmtkomente"/>
    <w:uiPriority w:val="99"/>
    <w:semiHidden/>
    <w:qFormat/>
    <w:locked/>
    <w:rsid w:val="0019036a"/>
    <w:rPr>
      <w:rFonts w:cs="Times New Roman"/>
      <w:b/>
      <w:bCs/>
      <w:sz w:val="20"/>
      <w:szCs w:val="20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19036a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link w:val="Tlotextu"/>
    <w:uiPriority w:val="99"/>
    <w:semiHidden/>
    <w:qFormat/>
    <w:locked/>
    <w:rsid w:val="003b585e"/>
    <w:rPr>
      <w:rFonts w:cs="Times New Roman"/>
      <w:lang w:eastAsia="en-US"/>
    </w:rPr>
  </w:style>
  <w:style w:type="character" w:styleId="ZhlavChar" w:customStyle="1">
    <w:name w:val="Záhlaví Char"/>
    <w:link w:val="Zhlav"/>
    <w:uiPriority w:val="99"/>
    <w:qFormat/>
    <w:rsid w:val="002e7514"/>
    <w:rPr>
      <w:sz w:val="22"/>
      <w:szCs w:val="22"/>
      <w:lang w:eastAsia="en-US"/>
    </w:rPr>
  </w:style>
  <w:style w:type="character" w:styleId="ZpatChar" w:customStyle="1">
    <w:name w:val="Zápatí Char"/>
    <w:link w:val="Zpat"/>
    <w:uiPriority w:val="99"/>
    <w:qFormat/>
    <w:rsid w:val="002e7514"/>
    <w:rPr>
      <w:sz w:val="22"/>
      <w:szCs w:val="22"/>
      <w:lang w:eastAsia="en-US"/>
    </w:rPr>
  </w:style>
  <w:style w:type="character" w:styleId="LnkyChar" w:customStyle="1">
    <w:name w:val="články Char"/>
    <w:basedOn w:val="DefaultParagraphFont"/>
    <w:qFormat/>
    <w:rsid w:val="001d5a41"/>
    <w:rPr>
      <w:rFonts w:ascii="Times New Roman" w:hAnsi="Times New Roman"/>
      <w:b/>
      <w:sz w:val="24"/>
      <w:szCs w:val="24"/>
    </w:rPr>
  </w:style>
  <w:style w:type="character" w:styleId="PodnadpisChar" w:customStyle="1">
    <w:name w:val="podnadpis Char"/>
    <w:basedOn w:val="DefaultParagraphFont"/>
    <w:qFormat/>
    <w:rsid w:val="00bd3816"/>
    <w:rPr>
      <w:rFonts w:ascii="Times New Roman" w:hAnsi="Times New Roman"/>
      <w:b/>
      <w:sz w:val="24"/>
      <w:szCs w:val="24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eastAsia="Times New Roman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Times New Roman"/>
      <w:b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eastAsia="Calibri"/>
    </w:rPr>
  </w:style>
  <w:style w:type="character" w:styleId="ListLabel7" w:customStyle="1">
    <w:name w:val="ListLabel 7"/>
    <w:qFormat/>
    <w:rPr>
      <w:color w:val="00000A"/>
    </w:rPr>
  </w:style>
  <w:style w:type="character" w:styleId="ListLabel8" w:customStyle="1">
    <w:name w:val="ListLabel 8"/>
    <w:qFormat/>
    <w:rPr>
      <w:sz w:val="16"/>
      <w:szCs w:val="16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  <w:sz w:val="16"/>
      <w:szCs w:val="16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  <w:sz w:val="16"/>
      <w:szCs w:val="16"/>
    </w:rPr>
  </w:style>
  <w:style w:type="character" w:styleId="ListLabel19">
    <w:name w:val="ListLabel 19"/>
    <w:qFormat/>
    <w:rPr>
      <w:rFonts w:cs="Symbol"/>
      <w:b/>
      <w:sz w:val="24"/>
      <w:szCs w:val="1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  <w:b/>
      <w:sz w:val="24"/>
      <w:szCs w:val="16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  <w:b/>
      <w:sz w:val="24"/>
      <w:szCs w:val="1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lotextu" w:customStyle="1">
    <w:name w:val="Tělo textu"/>
    <w:basedOn w:val="Normal"/>
    <w:link w:val="ZkladntextChar"/>
    <w:uiPriority w:val="99"/>
    <w:rsid w:val="00c63575"/>
    <w:pPr>
      <w:spacing w:lineRule="auto" w:line="240" w:before="0" w:after="12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Seznam">
    <w:name w:val="Seznam"/>
    <w:basedOn w:val="Tlotextu"/>
    <w:pPr/>
    <w:rPr>
      <w:rFonts w:cs="Lohit Devanagari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komenteChar"/>
    <w:uiPriority w:val="99"/>
    <w:qFormat/>
    <w:rsid w:val="0019036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qFormat/>
    <w:rsid w:val="0019036a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qFormat/>
    <w:rsid w:val="001903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03a6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Revision">
    <w:name w:val="Revision"/>
    <w:uiPriority w:val="99"/>
    <w:semiHidden/>
    <w:qFormat/>
    <w:rsid w:val="00985f3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99"/>
    <w:qFormat/>
    <w:rsid w:val="00791770"/>
    <w:pPr>
      <w:spacing w:before="0" w:after="200"/>
      <w:ind w:left="720" w:hanging="0"/>
      <w:contextualSpacing/>
    </w:pPr>
    <w:rPr/>
  </w:style>
  <w:style w:type="paragraph" w:styleId="Normodsaz" w:customStyle="1">
    <w:name w:val="Norm.odsaz."/>
    <w:basedOn w:val="Normal"/>
    <w:uiPriority w:val="99"/>
    <w:qFormat/>
    <w:rsid w:val="00b300f4"/>
    <w:pPr>
      <w:spacing w:lineRule="auto" w:line="240" w:before="120" w:after="120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Záhlaví"/>
    <w:basedOn w:val="Normal"/>
    <w:link w:val="ZhlavChar"/>
    <w:uiPriority w:val="99"/>
    <w:unhideWhenUsed/>
    <w:rsid w:val="002e7514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unhideWhenUsed/>
    <w:rsid w:val="002e7514"/>
    <w:pPr>
      <w:tabs>
        <w:tab w:val="center" w:pos="4536" w:leader="none"/>
        <w:tab w:val="right" w:pos="9072" w:leader="none"/>
      </w:tabs>
    </w:pPr>
    <w:rPr/>
  </w:style>
  <w:style w:type="paragraph" w:styleId="Lnky" w:customStyle="1">
    <w:name w:val="články"/>
    <w:basedOn w:val="Normal"/>
    <w:qFormat/>
    <w:rsid w:val="001d5a41"/>
    <w:pPr>
      <w:spacing w:lineRule="auto" w:line="240" w:before="400" w:after="0"/>
      <w:jc w:val="center"/>
    </w:pPr>
    <w:rPr>
      <w:rFonts w:ascii="Times New Roman" w:hAnsi="Times New Roman"/>
      <w:b/>
      <w:sz w:val="24"/>
      <w:szCs w:val="24"/>
      <w:lang w:eastAsia="cs-CZ"/>
    </w:rPr>
  </w:style>
  <w:style w:type="paragraph" w:styleId="Podnadpis" w:customStyle="1">
    <w:name w:val="podnadpis"/>
    <w:basedOn w:val="Normal"/>
    <w:qFormat/>
    <w:rsid w:val="00bd3816"/>
    <w:pPr>
      <w:spacing w:lineRule="auto" w:line="240" w:before="40" w:after="120"/>
      <w:jc w:val="center"/>
    </w:pPr>
    <w:rPr>
      <w:rFonts w:ascii="Times New Roman" w:hAnsi="Times New Roman"/>
      <w:b/>
      <w:sz w:val="24"/>
      <w:szCs w:val="24"/>
      <w:lang w:eastAsia="cs-CZ"/>
    </w:rPr>
  </w:style>
  <w:style w:type="paragraph" w:styleId="Quotations" w:customStyle="1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7b12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761F-72D4-48E3-A4E9-4DCEFEBE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LibreOffice/5.0.4.2$Linux_X86_64 LibreOffice_project/2b9802c1994aa0b7dc6079e128979269cf95bc78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2014-03-03T11:49:00Z</dcterms:created>
  <dc:creator>Solilová Alena</dc:creator>
  <dc:language>cs-CZ</dc:language>
  <cp:lastPrinted>2014-03-17T15:35:00Z</cp:lastPrinted>
  <dcterms:modified xsi:type="dcterms:W3CDTF">2016-04-14T13:45:43Z</dcterms:modified>
  <cp:revision>226</cp:revision>
  <dc:title>Příloha č</dc:title>
</cp:coreProperties>
</file>